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Σίνα 2-4</w:t>
      </w:r>
    </w:p>
    <w:p>
      <w:pPr>
        <w:spacing w:before="240" w:after="240"/>
        <w:rPr>
          <w:lang w:val="el" w:eastAsia="el"/>
        </w:rPr>
      </w:pPr>
      <w:r>
        <w:rPr>
          <w:lang w:val="el" w:eastAsia="el"/>
        </w:rPr>
        <w:t>106 72 ΑΘΗΝΑ</w:t>
      </w:r>
    </w:p>
    <w:p>
      <w:pPr>
        <w:spacing w:before="240" w:after="240"/>
        <w:rPr>
          <w:lang w:val="el" w:eastAsia="el"/>
        </w:rPr>
      </w:pPr>
      <w:r>
        <w:rPr>
          <w:lang w:val="el" w:eastAsia="el"/>
        </w:rPr>
        <w:t>Αικ. Καρύδα, Γ. Βαρνάκου</w:t>
      </w:r>
    </w:p>
    <w:p>
      <w:pPr>
        <w:spacing w:before="240" w:after="240"/>
        <w:rPr>
          <w:lang w:val="el" w:eastAsia="el"/>
        </w:rPr>
      </w:pPr>
      <w:r>
        <w:rPr>
          <w:lang w:val="el" w:eastAsia="el"/>
        </w:rPr>
        <w:t>Γ. Αναγνωστόπουλος</w:t>
      </w:r>
    </w:p>
    <w:p>
      <w:pPr>
        <w:spacing w:before="240" w:after="240"/>
        <w:rPr>
          <w:lang w:val="el" w:eastAsia="el"/>
        </w:rPr>
      </w:pPr>
      <w:r>
        <w:rPr>
          <w:lang w:val="el" w:eastAsia="el"/>
        </w:rPr>
        <w:t>210- 3645615/378</w:t>
      </w:r>
    </w:p>
    <w:p>
      <w:pPr>
        <w:spacing w:before="240" w:after="240"/>
        <w:rPr>
          <w:lang w:val="el" w:eastAsia="el"/>
        </w:rPr>
      </w:pPr>
      <w:r>
        <w:rPr>
          <w:lang w:val="el" w:eastAsia="el"/>
        </w:rPr>
        <w:t>210- 3645413</w:t>
      </w:r>
    </w:p>
    <w:p>
      <w:pPr>
        <w:spacing w:before="240" w:after="240"/>
        <w:rPr>
          <w:lang w:val="el" w:eastAsia="el"/>
        </w:rPr>
      </w:pP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ΕΞΑΙΡ. ΕΠΕΙΓΟΥΣΑ</w:t>
      </w:r>
    </w:p>
    <w:p>
      <w:pPr>
        <w:spacing w:before="240" w:after="240"/>
        <w:rPr>
          <w:lang w:val="el" w:eastAsia="el"/>
        </w:rPr>
      </w:pPr>
      <w:r>
        <w:rPr>
          <w:lang w:val="el" w:eastAsia="el"/>
        </w:rPr>
        <w:t>Αθήνα, 27/3/2012</w:t>
      </w:r>
    </w:p>
    <w:p>
      <w:pPr>
        <w:spacing w:before="240" w:after="240"/>
        <w:rPr>
          <w:lang w:val="el" w:eastAsia="el"/>
        </w:rPr>
      </w:pPr>
      <w:r>
        <w:rPr>
          <w:lang w:val="el" w:eastAsia="el"/>
        </w:rPr>
        <w:t>ΠΟΛ. 1080</w:t>
      </w:r>
    </w:p>
    <w:p>
      <w:pPr>
        <w:spacing w:before="240" w:after="240"/>
        <w:rPr>
          <w:lang w:val="el" w:eastAsia="el"/>
        </w:rPr>
      </w:pPr>
      <w:r>
        <w:rPr>
          <w:lang w:val="el" w:eastAsia="el"/>
        </w:rPr>
        <w:t>ΑΝΑΡΤΗΤΕΑ ΣΤΟ ΔΙΑΔΙΚΤΥΟ</w:t>
      </w:r>
    </w:p>
    <w:p>
      <w:pPr>
        <w:spacing w:before="240" w:after="240"/>
        <w:rPr>
          <w:lang w:val="el" w:eastAsia="el"/>
        </w:rPr>
      </w:pPr>
      <w:r>
        <w:rPr>
          <w:lang w:val="el" w:eastAsia="el"/>
        </w:rPr>
        <w:t>ΔΗΜΟΣΙΕΥΘΗΚΕ ΣΤΟ ΦΕΚ ΜΕ</w:t>
      </w:r>
    </w:p>
    <w:p>
      <w:pPr>
        <w:spacing w:before="240" w:after="240"/>
        <w:rPr>
          <w:lang w:val="el" w:eastAsia="el"/>
        </w:rPr>
      </w:pPr>
      <w:r>
        <w:rPr>
          <w:lang w:val="el" w:eastAsia="el"/>
        </w:rPr>
        <w:t>ΑΡΙΘ. 990Β΄/30.03.2012</w:t>
      </w:r>
    </w:p>
    <w:p>
      <w:pPr>
        <w:spacing w:before="240" w:after="240"/>
        <w:rPr>
          <w:lang w:val="el" w:eastAsia="el"/>
        </w:rPr>
      </w:pPr>
      <w:r>
        <w:rPr>
          <w:b/>
          <w:bCs/>
          <w:lang w:val="el" w:eastAsia="el"/>
        </w:rPr>
        <w:t xml:space="preserve">ΠΡΟΣ: </w:t>
      </w:r>
      <w:r>
        <w:rPr>
          <w:lang w:val="el" w:eastAsia="el"/>
        </w:rPr>
        <w:t>Π.Δ.</w:t>
      </w:r>
    </w:p>
    <w:p>
      <w:pPr>
        <w:spacing w:before="240" w:after="240"/>
        <w:rPr>
          <w:lang w:val="el" w:eastAsia="el"/>
        </w:rPr>
      </w:pPr>
      <w:r>
        <w:rPr>
          <w:b/>
          <w:bCs/>
          <w:lang w:val="el" w:eastAsia="el"/>
        </w:rPr>
        <w:t xml:space="preserve">Θέμα: </w:t>
      </w:r>
      <w:r>
        <w:rPr>
          <w:lang w:val="el" w:eastAsia="el"/>
        </w:rPr>
        <w:t>Παράταση προθεσμίας υποβολής των περιοδικών δηλώσεων Φ.Π.Α. και των ανακεφαλαιωτικών πινάκων που η καταληκτική ημερομηνία υποβολής τους είναι η 26.3.2012 καθώς και των προσωρινών δηλώσεων απόδοσης φόρου μισθωτών υπηρεσιών εκείνων των υποχρέων των οποίων το τελευταίο ψηφίο του αριθμού του φορολογικού τους μητρώου λήγει σε 5 και 6 και η καταληκτική ημερομηνία υποβολής τους είναι η 26</w:t>
      </w:r>
      <w:r>
        <w:rPr>
          <w:sz w:val="30"/>
          <w:szCs w:val="30"/>
          <w:vertAlign w:val="superscript"/>
          <w:lang w:val="el" w:eastAsia="el"/>
        </w:rPr>
        <w:t>η</w:t>
      </w:r>
      <w:r>
        <w:rPr>
          <w:lang w:val="el" w:eastAsia="el"/>
        </w:rPr>
        <w:t xml:space="preserve"> και η 27</w:t>
      </w:r>
      <w:r>
        <w:rPr>
          <w:sz w:val="30"/>
          <w:szCs w:val="30"/>
          <w:vertAlign w:val="superscript"/>
          <w:lang w:val="el" w:eastAsia="el"/>
        </w:rPr>
        <w:t>η</w:t>
      </w:r>
      <w:r>
        <w:rPr>
          <w:lang w:val="el" w:eastAsia="el"/>
        </w:rPr>
        <w:t xml:space="preserve"> Μαρτίου 2012.</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παρακάτω διατάξεις του Κώδικα Φόρου Προστιθέμενης Αξίας (κύρωση με το ν.2859/2000- ΦΕΚ 248 Α΄), όπως ισχύουν:</w:t>
      </w:r>
    </w:p>
    <w:p>
      <w:pPr>
        <w:pStyle w:val="StructureList1"/>
        <w:spacing w:before="120" w:after="0"/>
        <w:rPr>
          <w:lang w:val="el" w:eastAsia="el"/>
        </w:rPr>
      </w:pPr>
      <w:r>
        <w:rPr>
          <w:lang w:val="el" w:eastAsia="el"/>
        </w:rPr>
        <w:t>α)</w:t>
      </w:r>
      <w:r>
        <w:rPr>
          <w:lang w:val="en" w:eastAsia="en"/>
        </w:rPr>
        <w:tab/>
      </w:r>
      <w:r>
        <w:rPr>
          <w:lang w:val="el" w:eastAsia="el"/>
        </w:rPr>
        <w:t xml:space="preserve">της περίπτωσης β΄ της </w:t>
      </w:r>
      <w:r>
        <w:rPr>
          <w:u w:val="single"/>
          <w:lang w:val="el" w:eastAsia="el"/>
        </w:rPr>
        <w:t>παραγράφου 4</w:t>
      </w:r>
      <w:r>
        <w:rPr>
          <w:lang w:val="el" w:eastAsia="el"/>
        </w:rPr>
        <w:t xml:space="preserve">, των περιπτώσεων α΄, β΄ και δ΄ της παραγράφου 5, της παραγράφου 5α΄, της παραγράφου 5β΄, της περίπτωσης ε΄ της παραγράφου 6, των περιπτώσεων α΄ και γ΄ της </w:t>
      </w:r>
      <w:r>
        <w:rPr>
          <w:u w:val="single"/>
          <w:lang w:val="el" w:eastAsia="el"/>
        </w:rPr>
        <w:t>παραγράφου 9</w:t>
      </w:r>
      <w:r>
        <w:rPr>
          <w:lang w:val="el" w:eastAsia="el"/>
        </w:rPr>
        <w:t xml:space="preserve"> και της </w:t>
      </w:r>
      <w:r>
        <w:rPr>
          <w:u w:val="single"/>
          <w:lang w:val="el" w:eastAsia="el"/>
        </w:rPr>
        <w:t>παραγράφου 11 του άρθρου 36</w:t>
      </w:r>
      <w:r>
        <w:rPr>
          <w:lang w:val="el" w:eastAsia="el"/>
        </w:rPr>
        <w:t>,</w:t>
      </w:r>
    </w:p>
    <w:p>
      <w:pPr>
        <w:pStyle w:val="StructureList1"/>
        <w:spacing w:before="120" w:after="0"/>
        <w:rPr>
          <w:lang w:val="el" w:eastAsia="el"/>
        </w:rPr>
      </w:pPr>
      <w:r>
        <w:rPr>
          <w:lang w:val="el" w:eastAsia="el"/>
        </w:rPr>
        <w:t>β)</w:t>
      </w:r>
      <w:r>
        <w:rPr>
          <w:lang w:val="en" w:eastAsia="en"/>
        </w:rPr>
        <w:tab/>
      </w:r>
      <w:r>
        <w:rPr>
          <w:lang w:val="el" w:eastAsia="el"/>
        </w:rPr>
        <w:t xml:space="preserve">της περίπτωσης α΄ της </w:t>
      </w:r>
      <w:r>
        <w:rPr>
          <w:u w:val="single"/>
          <w:lang w:val="el" w:eastAsia="el"/>
        </w:rPr>
        <w:t>παραγράφου 1</w:t>
      </w:r>
      <w:r>
        <w:rPr>
          <w:lang w:val="el" w:eastAsia="el"/>
        </w:rPr>
        <w:t xml:space="preserve"> και των </w:t>
      </w:r>
      <w:r>
        <w:rPr>
          <w:u w:val="single"/>
          <w:lang w:val="el" w:eastAsia="el"/>
        </w:rPr>
        <w:t>παραγράφων 2</w:t>
      </w:r>
      <w:r>
        <w:rPr>
          <w:lang w:val="el" w:eastAsia="el"/>
        </w:rPr>
        <w:t xml:space="preserve"> και </w:t>
      </w:r>
      <w:r>
        <w:rPr>
          <w:u w:val="single"/>
          <w:lang w:val="el" w:eastAsia="el"/>
        </w:rPr>
        <w:t>11 του άρθρου 38</w:t>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 xml:space="preserve">της </w:t>
      </w:r>
      <w:r>
        <w:rPr>
          <w:u w:val="single"/>
          <w:lang w:val="el" w:eastAsia="el"/>
        </w:rPr>
        <w:t>παραγράφου 2 του άρθρου 59</w:t>
      </w:r>
      <w:r>
        <w:rPr>
          <w:lang w:val="el" w:eastAsia="el"/>
        </w:rPr>
        <w:t xml:space="preserve"> και</w:t>
      </w:r>
    </w:p>
    <w:p>
      <w:pPr>
        <w:spacing w:before="240" w:after="240"/>
        <w:rPr>
          <w:lang w:val="el" w:eastAsia="el"/>
        </w:rPr>
      </w:pPr>
      <w:r>
        <w:rPr>
          <w:lang w:val="el" w:eastAsia="el"/>
        </w:rPr>
        <w:t xml:space="preserve">δ)της </w:t>
      </w:r>
      <w:r>
        <w:rPr>
          <w:u w:val="single"/>
          <w:lang w:val="el" w:eastAsia="el"/>
        </w:rPr>
        <w:t>παραγράφου 3 του άρθρου 64</w:t>
      </w:r>
      <w:r>
        <w:rPr>
          <w:lang w:val="el" w:eastAsia="el"/>
        </w:rPr>
        <w:t>.</w:t>
      </w:r>
    </w:p>
    <w:p>
      <w:pPr>
        <w:spacing w:before="240" w:after="240"/>
        <w:rPr>
          <w:lang w:val="el" w:eastAsia="el"/>
        </w:rPr>
      </w:pPr>
      <w:r>
        <w:rPr>
          <w:lang w:val="el" w:eastAsia="el"/>
        </w:rPr>
        <w:t>2. Τις διατάξεις του άρθρου 12 του ν.2362/1995 (ΦΕΚ 247 Α΄/27.11.1995) και του ΠΔ 16/1989 (ΦΕΚ 6 Α΄/5.1.1989), περί αποδεικτικών εισπράξεως.</w:t>
      </w:r>
    </w:p>
    <w:p>
      <w:pPr>
        <w:spacing w:before="240" w:after="240"/>
        <w:rPr>
          <w:lang w:val="el" w:eastAsia="el"/>
        </w:rPr>
      </w:pPr>
      <w:r>
        <w:rPr>
          <w:lang w:val="el" w:eastAsia="el"/>
        </w:rPr>
        <w:t>3. Τις διατάξεις της ΑΥΟ ΠΟΛ 1267/2011 (ΦΕΚ 44Β΄/23.1.2012) «Χρόνος και τρόπος υποβολής της περιοδικής δήλωσης ΦΠΑ».</w:t>
      </w:r>
    </w:p>
    <w:p>
      <w:pPr>
        <w:spacing w:before="240" w:after="240"/>
        <w:rPr>
          <w:lang w:val="el" w:eastAsia="el"/>
        </w:rPr>
      </w:pPr>
      <w:r>
        <w:rPr>
          <w:lang w:val="el" w:eastAsia="el"/>
        </w:rPr>
        <w:t>4. Τις διατάξεις της ΑΥΟ 1091535/7452/1652/Δ0014/ΠΟΛ. 1127/25.9.2009 (ΦΕΚ 2180 Β΄) για το χρόνο υποβολής των ανακεφαλαιωτικών πινάκων.</w:t>
      </w:r>
    </w:p>
    <w:p>
      <w:pPr>
        <w:spacing w:before="240" w:after="240"/>
        <w:rPr>
          <w:lang w:val="el" w:eastAsia="el"/>
        </w:rPr>
      </w:pPr>
      <w:r>
        <w:rPr>
          <w:lang w:val="el" w:eastAsia="el"/>
        </w:rPr>
        <w:t>5. Τις διατάξεις του Κανονισμού 2010/904/ΕΚ/7.10.2010/EE L 268/12.10.2010 για τη διοικητική συνεργασία στον τομέα του φόρου προστιθέμενης αξίας, όπως ισχύουν.</w:t>
      </w:r>
    </w:p>
    <w:p>
      <w:pPr>
        <w:spacing w:before="240" w:after="240"/>
        <w:rPr>
          <w:lang w:val="el" w:eastAsia="el"/>
        </w:rPr>
      </w:pPr>
      <w:r>
        <w:rPr>
          <w:lang w:val="el" w:eastAsia="el"/>
        </w:rPr>
        <w:t>6. Τις διατάξεις των παραγράφων 1, 2, 6 και 7 του άρθρου 59 του ν.2238/1994 (ΦΕΚ 151Α΄) σχετικά με την απόδοση του φόρου μισθωτών υπηρεσιών που παρακρατήθηκε με τις διατάξεις του άρθρου 57 του ίδιου νόμου.</w:t>
      </w:r>
    </w:p>
    <w:p>
      <w:pPr>
        <w:spacing w:before="240" w:after="240"/>
        <w:rPr>
          <w:lang w:val="el" w:eastAsia="el"/>
        </w:rPr>
      </w:pPr>
      <w:r>
        <w:rPr>
          <w:lang w:val="el" w:eastAsia="el"/>
        </w:rPr>
        <w:t>7. Τις διατάξεις της παραγράφου 6 του άρθρου 20 του ν.3943/2011(ΦΕΚ 66 Α΄).</w:t>
      </w:r>
    </w:p>
    <w:p>
      <w:pPr>
        <w:spacing w:before="240" w:after="240"/>
        <w:rPr>
          <w:lang w:val="el" w:eastAsia="el"/>
        </w:rPr>
      </w:pPr>
      <w:r>
        <w:rPr>
          <w:lang w:val="el" w:eastAsia="el"/>
        </w:rPr>
        <w:t>8. Την ΠΟΛ.1033/ 18.2.2011 ΑΔΑ 4ΑΙΗΗ – ΑΟ / Α.Υ.Ο. περί υποβολής των προσωρινών δηλώσεων απόδοσης φόρου μισθωτών υπηρεσιών.</w:t>
      </w:r>
    </w:p>
    <w:p>
      <w:pPr>
        <w:spacing w:before="240" w:after="240"/>
        <w:rPr>
          <w:lang w:val="el" w:eastAsia="el"/>
        </w:rPr>
      </w:pPr>
      <w:r>
        <w:rPr>
          <w:lang w:val="el" w:eastAsia="el"/>
        </w:rPr>
        <w:t>9. Τις διατάξεις της παραγράφου 5 του άρθρου 22 του ν. 2020/1992(Φ.Ε.Κ. 34 Α΄), με τις οποίες παρέχεται εξουσιοδότηση στον Υπουργό Οικονομικών να παρατείνει με απόφαση τις προθεσμίες που ορίζονται από τις κείμενες διατάξεις για υποβολή φορολογικών δηλώσεων, σε εξαιρετικές περιπτώσεις.</w:t>
      </w:r>
    </w:p>
    <w:p>
      <w:pPr>
        <w:spacing w:before="240" w:after="240"/>
        <w:rPr>
          <w:lang w:val="el" w:eastAsia="el"/>
        </w:rPr>
      </w:pPr>
      <w:r>
        <w:rPr>
          <w:lang w:val="el" w:eastAsia="el"/>
        </w:rPr>
        <w:t>10. Την ανάγκη διευκόλυνσης των υποκειμένων στο Φόρο Προστιθέμενης Αξίας για την υποβολή των περιοδικών δηλώσεων και των ανακεφαλαιωτικών πινάκων, καθώς και των υπόχρεων σε υποβολή προσωρινών δηλώσεων απόδοσης φόρου μισθωτών υπηρεσιών εκείνων των υποχρέων των οποίων το τελευταίο ψηφίο του αριθμού του φορολογικού τους μητρώου λήγει σε 5 και 6 και η καταληκτική ημερομηνία υποβολής τους είναι η 26</w:t>
      </w:r>
      <w:r>
        <w:rPr>
          <w:sz w:val="30"/>
          <w:szCs w:val="30"/>
          <w:vertAlign w:val="superscript"/>
          <w:lang w:val="el" w:eastAsia="el"/>
        </w:rPr>
        <w:t>η</w:t>
      </w:r>
      <w:r>
        <w:rPr>
          <w:lang w:val="el" w:eastAsia="el"/>
        </w:rPr>
        <w:t xml:space="preserve"> και η 27</w:t>
      </w:r>
      <w:r>
        <w:rPr>
          <w:sz w:val="30"/>
          <w:szCs w:val="30"/>
          <w:vertAlign w:val="superscript"/>
          <w:lang w:val="el" w:eastAsia="el"/>
        </w:rPr>
        <w:t>η</w:t>
      </w:r>
      <w:r>
        <w:rPr>
          <w:lang w:val="el" w:eastAsia="el"/>
        </w:rPr>
        <w:t xml:space="preserve"> Μαρτίου 2012, λόγω προβλημάτων στην επικοινωνία με το ειδικό δίκτυο TAXISnet.</w:t>
      </w:r>
    </w:p>
    <w:p>
      <w:pPr>
        <w:spacing w:before="240" w:after="240"/>
        <w:rPr>
          <w:lang w:val="el" w:eastAsia="el"/>
        </w:rPr>
      </w:pPr>
      <w:r>
        <w:rPr>
          <w:lang w:val="el" w:eastAsia="el"/>
        </w:rPr>
        <w:t>11. Την υπ’ αριθ Υ 25 (ΦΕΚ 2792/Β΄/8.12.11) Απόφαση του Πρωθυπουργού «Καθορισμός αρμοδιοτήτων των Αναπληρωτών Υπουργών Οικονομικών Φίλιππου Σαχινίδη και Παντελή Οικονόμου».</w:t>
      </w:r>
    </w:p>
    <w:p>
      <w:pPr>
        <w:spacing w:before="240" w:after="240"/>
        <w:rPr>
          <w:lang w:val="el" w:eastAsia="el"/>
        </w:rPr>
      </w:pPr>
      <w:r>
        <w:rPr>
          <w:lang w:val="el" w:eastAsia="el"/>
        </w:rPr>
        <w:t>12.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Παρατείνουμε την προθεσμία υποβολής των περιοδικών δηλώσεων Φ.Π.Α. και των ανακεφαλαιωτικών πινάκων που η καταληκτική ημερομηνία υποβολής τους είναι η 26</w:t>
      </w:r>
      <w:r>
        <w:rPr>
          <w:sz w:val="30"/>
          <w:szCs w:val="30"/>
          <w:vertAlign w:val="superscript"/>
          <w:lang w:val="el" w:eastAsia="el"/>
        </w:rPr>
        <w:t xml:space="preserve">η </w:t>
      </w:r>
      <w:r>
        <w:rPr>
          <w:lang w:val="el" w:eastAsia="el"/>
        </w:rPr>
        <w:t>Μαρτίου 2012 καθώς και την προθεσμία υποβολής των προσωρινών δηλώσεων απόδοσης φόρου μισθωτών υπηρεσιών εκείνων των υποχρέων των οποίων το τελευταίο ψηφίο του αριθμού του φορολογικού τους μητρώου λήγει σε 5 και 6 και η καταληκτική ημερομηνία υποβολής τους είναι η 26</w:t>
      </w:r>
      <w:r>
        <w:rPr>
          <w:sz w:val="30"/>
          <w:szCs w:val="30"/>
          <w:vertAlign w:val="superscript"/>
          <w:lang w:val="el" w:eastAsia="el"/>
        </w:rPr>
        <w:t>η</w:t>
      </w:r>
      <w:r>
        <w:rPr>
          <w:lang w:val="el" w:eastAsia="el"/>
        </w:rPr>
        <w:t xml:space="preserve"> και η 27</w:t>
      </w:r>
      <w:r>
        <w:rPr>
          <w:sz w:val="30"/>
          <w:szCs w:val="30"/>
          <w:vertAlign w:val="superscript"/>
          <w:lang w:val="el" w:eastAsia="el"/>
        </w:rPr>
        <w:t>η</w:t>
      </w:r>
      <w:r>
        <w:rPr>
          <w:lang w:val="el" w:eastAsia="el"/>
        </w:rPr>
        <w:t xml:space="preserve"> Μαρτίου 2012, μέχρι και την 28</w:t>
      </w:r>
      <w:r>
        <w:rPr>
          <w:sz w:val="30"/>
          <w:szCs w:val="30"/>
          <w:vertAlign w:val="superscript"/>
          <w:lang w:val="el" w:eastAsia="el"/>
        </w:rPr>
        <w:t>η</w:t>
      </w:r>
      <w:r>
        <w:rPr>
          <w:lang w:val="el" w:eastAsia="el"/>
        </w:rPr>
        <w:t xml:space="preserve"> Μαρτίου 2012.</w:t>
      </w:r>
    </w:p>
    <w:p>
      <w:pPr>
        <w:spacing w:before="240" w:after="240"/>
        <w:rPr>
          <w:lang w:val="el" w:eastAsia="el"/>
        </w:rPr>
      </w:pPr>
      <w:r>
        <w:rPr>
          <w:lang w:val="el" w:eastAsia="el"/>
        </w:rPr>
        <w:t>2. Η απόφαση αυτή, που ισχύει από την έκδοσή της, να δημοσιευθεί στην Εφημερίδα της Κυβερνήσεως.</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ΠΑΝΤΕΛΗΣ ΟΙΚΟΝΟΜΟΥ</w:t>
      </w:r>
    </w:p>
    <w:p>
      <w:pPr>
        <w:spacing w:before="240" w:after="240"/>
        <w:rPr>
          <w:lang w:val="el" w:eastAsia="el"/>
        </w:rPr>
      </w:pPr>
      <w:r>
        <w:rPr>
          <w:b/>
          <w:bCs/>
          <w:lang w:val="el" w:eastAsia="el"/>
        </w:rPr>
        <w:t>ΑΚΡΙΒΕΣ ΑΝΤΙΓΡΑΦΟ</w:t>
      </w:r>
    </w:p>
    <w:p>
      <w:pPr>
        <w:spacing w:before="240" w:after="240"/>
        <w:rPr>
          <w:lang w:val="el" w:eastAsia="el"/>
        </w:rPr>
      </w:pPr>
      <w:r>
        <w:rPr>
          <w:b/>
          <w:bCs/>
          <w:lang w:val="el" w:eastAsia="el"/>
        </w:rPr>
        <w:t>Ο ΠΡΟΪΣΤΑΜΕΝΟΣ ΤΗΣ ΓΡΑΜΜΑΤΕΙΑΣ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2.</w:t>
      </w:r>
    </w:p>
    <w:p>
      <w:pPr>
        <w:spacing w:before="240" w:after="240"/>
        <w:rPr>
          <w:lang w:val="el" w:eastAsia="el"/>
        </w:rPr>
      </w:pPr>
      <w:r>
        <w:rPr>
          <w:lang w:val="el" w:eastAsia="el"/>
        </w:rPr>
        <w:t>3. 30η Δ/νση Γ.Γ.Π.Σ.</w:t>
      </w:r>
    </w:p>
    <w:p>
      <w:pPr>
        <w:spacing w:before="240" w:after="240"/>
        <w:rPr>
          <w:lang w:val="el" w:eastAsia="el"/>
        </w:rPr>
      </w:pPr>
      <w:r>
        <w:rPr>
          <w:lang w:val="el" w:eastAsia="el"/>
        </w:rPr>
        <w:t>4. Υπηρεσία TAXISnet για καταχώρηση στο INTERNET.</w:t>
      </w:r>
    </w:p>
    <w:p>
      <w:pPr>
        <w:spacing w:before="240" w:after="240"/>
        <w:rPr>
          <w:lang w:val="el" w:eastAsia="el"/>
        </w:rPr>
      </w:pPr>
      <w:r>
        <w:rPr>
          <w:lang w:val="el" w:eastAsia="el"/>
        </w:rPr>
        <w:t>5. Εθνικό Τυπογραφείο (για τη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433"/>
        <w:gridCol w:w="433"/>
        <w:gridCol w:w="78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 Α΄ εκτός του αριθ. 4,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6 και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 22, 23, 26, 27, 30, 31, 32, 41, 42,43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Υπουργείου Οικονομικών κ. Η. Πλασκοβίτη</w:t>
      </w:r>
    </w:p>
    <w:p>
      <w:pPr>
        <w:spacing w:before="240" w:after="240"/>
        <w:rPr>
          <w:lang w:val="el" w:eastAsia="el"/>
        </w:rPr>
      </w:pPr>
      <w:r>
        <w:rPr>
          <w:lang w:val="el" w:eastAsia="el"/>
        </w:rPr>
        <w:t>4. Γραφείο Γεν. Γραμματέα Φορολογικών και Τελωνειακών Θεμάτων.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Γενικού Δ/ντή Φορολογίας (2).</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10. 30</w:t>
      </w:r>
      <w:r>
        <w:rPr>
          <w:sz w:val="30"/>
          <w:szCs w:val="30"/>
          <w:vertAlign w:val="superscript"/>
          <w:lang w:val="el" w:eastAsia="el"/>
        </w:rPr>
        <w:t>η</w:t>
      </w:r>
      <w:r>
        <w:rPr>
          <w:lang w:val="el" w:eastAsia="el"/>
        </w:rPr>
        <w:t xml:space="preserve"> Δ/νση Η/Υ (5)</w:t>
      </w:r>
    </w:p>
    <w:p>
      <w:pPr>
        <w:spacing w:before="240" w:after="240"/>
        <w:rPr>
          <w:lang w:val="el" w:eastAsia="el"/>
        </w:rPr>
      </w:pPr>
      <w:r>
        <w:rPr>
          <w:lang w:val="el" w:eastAsia="el"/>
        </w:rPr>
        <w:t>11. Δ/νση Πολιτικής Εισπράξεων (5).</w:t>
      </w:r>
    </w:p>
    <w:p>
      <w:pPr>
        <w:spacing w:before="240" w:after="240"/>
        <w:rPr>
          <w:lang w:val="el" w:eastAsia="el"/>
        </w:rPr>
      </w:pPr>
      <w:r>
        <w:rPr>
          <w:lang w:val="el" w:eastAsia="el"/>
        </w:rPr>
        <w:t>12. Δ/νση Ελέγχου (5).</w:t>
      </w:r>
    </w:p>
    <w:p>
      <w:pPr>
        <w:spacing w:before="240" w:after="240"/>
        <w:rPr>
          <w:lang w:val="el" w:eastAsia="el"/>
        </w:rPr>
      </w:pPr>
      <w:r>
        <w:rPr>
          <w:lang w:val="el" w:eastAsia="el"/>
        </w:rPr>
        <w:t>13. 14</w:t>
      </w:r>
      <w:r>
        <w:rPr>
          <w:sz w:val="30"/>
          <w:szCs w:val="30"/>
          <w:vertAlign w:val="superscript"/>
          <w:lang w:val="el" w:eastAsia="el"/>
        </w:rPr>
        <w:t>η</w:t>
      </w:r>
      <w:r>
        <w:rPr>
          <w:lang w:val="el" w:eastAsia="el"/>
        </w:rPr>
        <w:t xml:space="preserve"> Δ/νση ΦΠΑ - Γραφείο Προϊσταμένης της Δ/νσης, - Τμήμα Α΄(10), Β΄(10), Γ΄(2), Ε΄(2).</w:t>
      </w:r>
    </w:p>
    <w:p>
      <w:pPr>
        <w:spacing w:before="240" w:after="240"/>
        <w:rPr>
          <w:lang w:val="el" w:eastAsia="el"/>
        </w:rPr>
      </w:pPr>
      <w:r>
        <w:rPr>
          <w:lang w:val="el" w:eastAsia="el"/>
        </w:rPr>
        <w:t>14. Δ/ντή Φορολογίας Εισοδήματος Δ12</w:t>
      </w:r>
    </w:p>
    <w:p>
      <w:pPr>
        <w:spacing w:before="240" w:after="240"/>
        <w:rPr>
          <w:lang w:val="el" w:eastAsia="el"/>
        </w:rPr>
      </w:pPr>
      <w:r>
        <w:rPr>
          <w:lang w:val="el" w:eastAsia="el"/>
        </w:rPr>
        <w:t>15. Δ/νση Φορολογίας Εισοδήματος Δ12, Τμήμα Α΄(10).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