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1092</w:t>
      </w:r>
    </w:p>
    <w:p>
      <w:pPr>
        <w:pStyle w:val="PreambelText"/>
        <w:spacing w:before="240" w:after="240"/>
        <w:rPr>
          <w:lang w:val="el" w:eastAsia="el"/>
        </w:rPr>
      </w:pPr>
      <w:r>
        <w:rPr>
          <w:lang w:val="el" w:eastAsia="el"/>
        </w:rPr>
        <w:t>Καθορισμός των προϋποθέσεων και της διαδικασίας χορήγησης των κινήτρων, τις συνέπειες παραβίασης των όρων χορήγησής τους και κάθε άλλο θέμα σχετικό με την εφαρμογή των διατάξεων των παρ. 1 και 3 του άρθρου 62 του Ν. 3982/11 (ΦΕΚ Α’ 143).</w:t>
      </w:r>
    </w:p>
    <w:p>
      <w:pPr>
        <w:pStyle w:val="enacting"/>
        <w:spacing w:before="120" w:after="0"/>
        <w:rPr>
          <w:lang w:val="el" w:eastAsia="el"/>
        </w:rPr>
      </w:pPr>
      <w:r>
        <w:rPr>
          <w:b/>
          <w:bCs/>
          <w:lang w:val="el" w:eastAsia="el"/>
        </w:rPr>
        <w:t xml:space="preserve">ΟΙ ΑΝΑΠΛΗΡΩΤΕΣ ΥΠΟΥΡΓΟΙ,ΟΙΚΟΝΟΜΙΚΩΝ </w:t>
      </w:r>
    </w:p>
    <w:p>
      <w:pPr>
        <w:pStyle w:val="listitem-"/>
        <w:spacing w:before="240" w:after="240"/>
        <w:rPr>
          <w:lang w:val="el" w:eastAsia="el"/>
        </w:rPr>
      </w:pPr>
      <w:r>
        <w:rPr>
          <w:lang w:val="el" w:eastAsia="el"/>
        </w:rPr>
        <w:t>-</w:t>
      </w:r>
      <w:r>
        <w:rPr>
          <w:lang w:val="en" w:eastAsia="en"/>
        </w:rPr>
        <w:t>[TAB09]</w:t>
      </w:r>
      <w:r>
        <w:rPr>
          <w:b/>
          <w:bCs/>
          <w:lang w:val="el" w:eastAsia="el"/>
        </w:rPr>
        <w:t>AΝΑΠΤΥΞΗΣ,ΑΝΤΑΓΩΝΙΣΤΙΚΟΤΗΤΑΣ ΚΑΙ ΝΑΥΤΙΛΙΑΣ</w:t>
      </w:r>
    </w:p>
    <w:p>
      <w:pPr>
        <w:pStyle w:val="listitem-"/>
        <w:spacing w:before="240" w:after="240"/>
        <w:ind w:left="600"/>
        <w:rPr>
          <w:lang w:val="el" w:eastAsia="el"/>
        </w:rPr>
      </w:pPr>
      <w:r>
        <w:rPr>
          <w:lang w:val="en" w:eastAsia="en"/>
        </w:rPr>
        <w:t>[TAB09]</w:t>
      </w:r>
      <w:r>
        <w:rPr>
          <w:b/>
          <w:bCs/>
          <w:lang w:val="el" w:eastAsia="el"/>
        </w:rPr>
        <w:t>AΝΑΠΤΥΞΗΣ,ΑΝΤΑΓΩΝΙΣΤΙΚΟΤΗΤΑΣ ΚΑΙ ΝΑΥΤΙΛΙΑΣ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Τρίτο Μέρος του Ν. 3982/11 (ΦΕΚ Α’ 143) και ειδικότερα τις παραγράφους 1, 3, 4 και 8 του άρθρου 62 αυτού.</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(ΦΕΚ Α’98).</w:t>
      </w:r>
    </w:p>
    <w:p>
      <w:pPr>
        <w:pStyle w:val="PreambelText"/>
        <w:spacing w:before="240" w:after="240"/>
        <w:rPr>
          <w:lang w:val="el" w:eastAsia="el"/>
        </w:rPr>
      </w:pPr>
      <w:r>
        <w:rPr>
          <w:lang w:val="el" w:eastAsia="el"/>
        </w:rPr>
        <w:t>3. Το Π.Δ. 27/96 (ΦΕΚ Α’ 99) «Συγχωνεύσεις των Υπουργείων Τουρισμού, Βιομηχανίας Ενέργειας &amp; Τεχνολογίας και Εμπορίου στο Υπουργείο Ανάπτυξης», το Π.Δ. 122/04 (ΦΕΚ Α’ 85) «Ανασύσταση του Υπουργείου Τουρισμού» και το Π.Δ. 189/2009 «Καθορισμός και ανακατανομή αρμοδιοτήτων των Υπουργείων» (ΦΕΚ Α’ 221).</w:t>
      </w:r>
    </w:p>
    <w:p>
      <w:pPr>
        <w:pStyle w:val="PreambelText"/>
        <w:spacing w:before="240" w:after="240"/>
        <w:rPr>
          <w:lang w:val="el" w:eastAsia="el"/>
        </w:rPr>
      </w:pPr>
      <w:r>
        <w:rPr>
          <w:lang w:val="el" w:eastAsia="el"/>
        </w:rPr>
        <w:t>4.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(ΦΕΚ Α’ 213).</w:t>
      </w:r>
    </w:p>
    <w:p>
      <w:pPr>
        <w:pStyle w:val="PreambelText"/>
        <w:spacing w:before="240" w:after="240"/>
        <w:rPr>
          <w:lang w:val="el" w:eastAsia="el"/>
        </w:rPr>
      </w:pPr>
      <w:r>
        <w:rPr>
          <w:lang w:val="el" w:eastAsia="el"/>
        </w:rPr>
        <w:t>5. Το Π.Δ. 110/2011 (Α’ 243) «Διορισμός Αντιπροέδρων της Κυβέρνησης, Υπουργών, Αναπληρωτών Υπουργών και Υφυπουργών».</w:t>
      </w:r>
    </w:p>
    <w:p>
      <w:pPr>
        <w:pStyle w:val="PreambelText"/>
        <w:spacing w:before="240" w:after="240"/>
        <w:rPr>
          <w:lang w:val="el" w:eastAsia="el"/>
        </w:rPr>
      </w:pPr>
      <w:r>
        <w:rPr>
          <w:lang w:val="el" w:eastAsia="el"/>
        </w:rPr>
        <w:t>6. Το Π.Δ. 65/2011 (ΦΕΚ Α’ 147)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w:t>
      </w:r>
    </w:p>
    <w:p>
      <w:pPr>
        <w:pStyle w:val="PreambelText"/>
        <w:spacing w:before="240" w:after="240"/>
        <w:rPr>
          <w:lang w:val="el" w:eastAsia="el"/>
        </w:rPr>
      </w:pPr>
      <w:r>
        <w:rPr>
          <w:lang w:val="el" w:eastAsia="el"/>
        </w:rPr>
        <w:t>7. Την υπ’ αριθμ. Υ13/2011 (ΦΕΚ Β’ 2740) απόφαση του Πρωθυπουργού «Καθορισμός αρμοδιοτήτων του Αναπληρωτή Υπουργού Ανάπτυξης, Ανταγωνιστικότητας και Ναυτιλίας Σωκράτη Ξυνίδη».</w:t>
      </w:r>
    </w:p>
    <w:p>
      <w:pPr>
        <w:pStyle w:val="PreambelText"/>
        <w:spacing w:before="240" w:after="240"/>
        <w:rPr>
          <w:lang w:val="el" w:eastAsia="el"/>
        </w:rPr>
      </w:pPr>
      <w:r>
        <w:rPr>
          <w:lang w:val="el" w:eastAsia="el"/>
        </w:rPr>
        <w:t>8. Την υπ’ αριθμ. Υ25/6-12-2011 (ΦΕΚ Β’ 2792) απόφαση του Πρωθυπουργού σχετικά με την ανάθεση αρμοδιοτήτων στον Αναπληρωτή Υπουργό Οικονομικών Παντελή Οικονόμου.</w:t>
      </w:r>
    </w:p>
    <w:p>
      <w:pPr>
        <w:pStyle w:val="PreambelText"/>
        <w:spacing w:before="240" w:after="240"/>
        <w:rPr>
          <w:lang w:val="el" w:eastAsia="el"/>
        </w:rPr>
      </w:pPr>
      <w:r>
        <w:rPr>
          <w:lang w:val="el" w:eastAsia="el"/>
        </w:rPr>
        <w:t>9. Το Π.Δ. 229/1986 (ΦΕΚ Α’ 96) «Σύσταση και Οργάνωση της Γενικής Γραμματείας Βιομηχανίας» και το Π.Δ. 396/1989 (ΦΕΚ Α’172) «Οργανισμός της Γενικής Γραμματείας Βιομηχανίας», όπως τροποποιήθηκε και ισχύει.</w:t>
      </w:r>
    </w:p>
    <w:p>
      <w:pPr>
        <w:pStyle w:val="PreambelText"/>
        <w:spacing w:before="240" w:after="240"/>
        <w:rPr>
          <w:lang w:val="el" w:eastAsia="el"/>
        </w:rPr>
      </w:pPr>
      <w:r>
        <w:rPr>
          <w:lang w:val="el" w:eastAsia="el"/>
        </w:rPr>
        <w:t>10. Το Π.Δ. 284/1988 (ΦΕΚ Α’ 128) «Οργανισμός του Υπουργείου Οικονομικών», όπως τροποποιήθηκε και ισχύει.</w:t>
      </w:r>
    </w:p>
    <w:p>
      <w:pPr>
        <w:pStyle w:val="PreambelText"/>
        <w:spacing w:before="240" w:after="240"/>
        <w:rPr>
          <w:lang w:val="el" w:eastAsia="el"/>
        </w:rPr>
      </w:pPr>
      <w:r>
        <w:rPr>
          <w:lang w:val="el" w:eastAsia="el"/>
        </w:rPr>
        <w:t>11. Τον με αριθμό (ΕΚ) 800/2008 Κανονισμό της Επιτροπής της 6ης Αυγούστου 2008 για την κήρυξη ορισμένων κατηγοριών ενισχύσεων ως συμβατών με την κοινή αγορά κατ’ εφαρμογή των άρθρων 87 και 88 της Συνθήκης (Γενικός Κανονισμός Απαλλαγής κατά κατηγορία) (L 214/3-47).</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δαπάνη εις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Απαλλαγή από φόρο μεταβίβασηςακινήτων και δωρεάς</w:t>
      </w:r>
    </w:p>
    <w:p>
      <w:pPr>
        <w:pStyle w:val="MainText"/>
        <w:spacing w:before="120" w:after="0"/>
        <w:rPr>
          <w:lang w:val="el" w:eastAsia="el"/>
        </w:rPr>
      </w:pPr>
      <w:r>
        <w:rPr>
          <w:b/>
          <w:bCs/>
          <w:lang w:val="el" w:eastAsia="el"/>
        </w:rPr>
        <w:t>1.</w:t>
      </w:r>
      <w:r>
        <w:rPr>
          <w:lang w:val="el" w:eastAsia="el"/>
        </w:rPr>
        <w:t xml:space="preserve"> Δικαιούχοι της απαλλαγής είναι τα φυσικά ή νομικά πρόσωπα που έχουν εγκατασταθεί, πρόκειται να εγκατασταθούν ή να μετεγκατασταθούν εντός του Επιχειρηματικού Πάρκου, ΒΙΠΕ, ΒΕΠΕ, ΒΙΠΑ και ΒΙΟΠΑ και ασκούν ή πρόκειται να ασκήσουν επιχειρηματική δραστηριότητα της παρ. 1 του άρθρου 43 του Ν. 3982/2011.</w:t>
      </w:r>
    </w:p>
    <w:p>
      <w:pPr>
        <w:pStyle w:val="MainText"/>
        <w:spacing w:before="120" w:after="0"/>
        <w:rPr>
          <w:lang w:val="el" w:eastAsia="el"/>
        </w:rPr>
      </w:pPr>
      <w:r>
        <w:rPr>
          <w:b/>
          <w:bCs/>
          <w:lang w:val="el" w:eastAsia="el"/>
        </w:rPr>
        <w:t>2.</w:t>
      </w:r>
      <w:r>
        <w:rPr>
          <w:lang w:val="el" w:eastAsia="el"/>
        </w:rPr>
        <w:t xml:space="preserve"> Αντικείμενο της απαλλαγής είναι κάθε σύμβαση αγοραπωλησίας ή δωρεάς έκτασης κατά πλήρη κυριότητα ή κατ’ επικαρπία που βρίσκεται εντός του Επιχειρηματικού Πάρκου καθώς επίσης και εντός ΒΙΠΕ, ΒΕΠΕ, ΒΙΠΑ και ΒΙΟΠΑ, όπως αυτά ορίζονται με τη διάταξη της παρ. 9 του άρθρου 62 του Ν. 3982/2011.</w:t>
      </w:r>
    </w:p>
    <w:p>
      <w:pPr>
        <w:pStyle w:val="MainText"/>
        <w:spacing w:before="120" w:after="0"/>
        <w:rPr>
          <w:lang w:val="el" w:eastAsia="el"/>
        </w:rPr>
      </w:pPr>
      <w:r>
        <w:rPr>
          <w:b/>
          <w:bCs/>
          <w:lang w:val="el" w:eastAsia="el"/>
        </w:rPr>
        <w:t>3.</w:t>
      </w:r>
      <w:r>
        <w:rPr>
          <w:lang w:val="el" w:eastAsia="el"/>
        </w:rPr>
        <w:t xml:space="preserve"> Οι προϋποθέσεις χορήγησης της απαλλαγής είναι σωρευτικά οι ακόλουθες:</w:t>
      </w:r>
    </w:p>
    <w:p>
      <w:pPr>
        <w:pStyle w:val="StructureList1"/>
        <w:spacing w:before="120" w:after="0"/>
        <w:rPr>
          <w:lang w:val="el" w:eastAsia="el"/>
        </w:rPr>
      </w:pPr>
      <w:r>
        <w:rPr>
          <w:lang w:val="el" w:eastAsia="el"/>
        </w:rPr>
        <w:t>α)</w:t>
      </w:r>
      <w:r>
        <w:rPr>
          <w:lang w:val="en" w:eastAsia="en"/>
        </w:rPr>
        <w:tab/>
      </w:r>
      <w:r>
        <w:rPr>
          <w:lang w:val="el" w:eastAsia="el"/>
        </w:rPr>
        <w:t>η μη περαιτέρω μεταβίβαση με οποιαδήποτε αιτία σε τρίτο ή η σύσταση δικαιώματος επικαρπίας υπέρ τρίτου επί της αποκτώμενης έκτασης, για πέντε (5) έτη από την ημερομηνία υπογραφής της σύμβασης και</w:t>
      </w:r>
    </w:p>
    <w:p>
      <w:pPr>
        <w:pStyle w:val="StructureList1"/>
        <w:spacing w:before="120" w:after="0"/>
        <w:rPr>
          <w:lang w:val="el" w:eastAsia="el"/>
        </w:rPr>
      </w:pPr>
      <w:r>
        <w:rPr>
          <w:lang w:val="el" w:eastAsia="el"/>
        </w:rPr>
        <w:t>β)</w:t>
      </w:r>
      <w:r>
        <w:rPr>
          <w:lang w:val="en" w:eastAsia="en"/>
        </w:rPr>
        <w:tab/>
      </w:r>
      <w:r>
        <w:rPr>
          <w:lang w:val="el" w:eastAsia="el"/>
        </w:rPr>
        <w:t>η έκδοση άδειας λειτουργίας στην αποκτώμενη έκταση επιχειρηματικής δραστηριότητας της παρ. 1 του άρθρου 43 του Ν. 3982/2011 μέσα σε χρονικό διάστημα πέντε (5) ετών από την ημερομηνία υπογραφής της σύμβασης καθώς και η μη ανάκληση αυτής μέσα σε χρονικό διάστημα πέντε (5) ετών από την ημερομηνία έκδοσής της.</w:t>
      </w:r>
    </w:p>
    <w:p>
      <w:pPr>
        <w:pStyle w:val="MainText"/>
        <w:spacing w:before="120" w:after="0"/>
        <w:rPr>
          <w:lang w:val="el" w:eastAsia="el"/>
        </w:rPr>
      </w:pPr>
      <w:r>
        <w:rPr>
          <w:b/>
          <w:bCs/>
          <w:lang w:val="el" w:eastAsia="el"/>
        </w:rPr>
        <w:t>4.</w:t>
      </w:r>
      <w:r>
        <w:rPr>
          <w:lang w:val="el" w:eastAsia="el"/>
        </w:rPr>
        <w:t xml:space="preserve"> Για τη χορήγηση της απαλλαγής, μαζί με την υποβαλλόμενη δήλωση φόρου μεταβίβασης ή δωρεάς κατά περίπτωση συνυποβάλλονται στην αρμόδια Δ.Ο.Υ.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τοπογραφικό διάγραμμα με επ’ αυτού δήλωση από ιδιώτη μηχανικό κατ’ αναλογική εφαρμογή των διατάξεων του Ν. 651/1977 και Ν. 1337/1983 ότι η αποκτώμενη έκταση βρίσκεται μέσα σε Επιχειρηματικό Πάρκο, ΒΙΠΕ, ΒΕΠΕ, ΒΙΠΑ ή ΒΙΟΠΑ και</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δικαιούχου της απαλλαγής ότι δε θα μεταβιβάσει με οποιαδήποτε αιτία ούτε θα συστήσει δικαίωμα επικαρπίας επί της αποκτώμενης έκτασης, πριν την παρέλευση πενταετίας από την ημερομηνία υπογραφής της σύμβασης καθώς επίσης ότι θα λειτουργήσει σε αυτήν επιχειρηματική δραστηριότητα κατά την έννοια της περίπτωσης β’ της παραγράφου 3 του παρόντος άρθρου για πέντε (5) έτη τουλάχιστον από την ημερομηνία έκδοσης της άδειας λειτουργίας.</w:t>
      </w:r>
    </w:p>
    <w:p>
      <w:pPr>
        <w:pStyle w:val="MainText"/>
        <w:spacing w:before="120" w:after="0"/>
        <w:rPr>
          <w:lang w:val="el" w:eastAsia="el"/>
        </w:rPr>
      </w:pPr>
      <w:r>
        <w:rPr>
          <w:b/>
          <w:bCs/>
          <w:lang w:val="el" w:eastAsia="el"/>
        </w:rPr>
        <w:t>5.</w:t>
      </w:r>
      <w:r>
        <w:rPr>
          <w:lang w:val="el" w:eastAsia="el"/>
        </w:rPr>
        <w:t xml:space="preserve"> Σε περίπτωση μη τήρησης των προϋποθέσεων της παραγράφου 3 του παρόντος άρθρου, αίρεται η χορηγηθείσα φορολογική απαλλαγή και ο δικαιούχος υποχρεούται, πριν τη μεταβίβαση ή τη σύσταση δικαιώματος επικαρπίας επί της αποκτώμενης έκτασης ή εντός προθεσμίας ενός (1) μηνός από την ανάκληση της άδειας λειτουργίας της επιχειρηματικής δραστηριότητας ή από την παρέλευση άπρακτου του χρονικού διαστήματος των πέντε (5) ετών από την ημερομηνία υπογραφής της σύμβασης, χωρίς να εκδοθεί η άδεια λειτουργίας που προβλέπεται στην περίπτωση β’ της παραγράφου 3 του παρόντος, σε υποβολή δήλωσης και καταβολή εφάπαξ του φόρου μεταβίβασης ή δωρεάς, κατά περίπτωση, που αναλογεί στην αξία του ακινήτου.</w:t>
      </w:r>
    </w:p>
    <w:p>
      <w:pPr>
        <w:spacing w:before="240" w:after="240"/>
        <w:rPr>
          <w:lang w:val="el" w:eastAsia="el"/>
        </w:rPr>
      </w:pPr>
      <w:r>
        <w:rPr>
          <w:lang w:val="el" w:eastAsia="el"/>
        </w:rPr>
        <w:t>Ο φόρος υπολογίζεται με βάση την αξία του ακινήτου κατά το χρόνο άρσης της απαλλαγής ως ανωτέρω, με εφαρμογή των συντελεστών που ίσχυαν κατά το χρόνο χορήγησης της απαλλαγής, εκτός εάν ο φόρος που αναλογεί στην αξία του ακινήτου του χρόνου χορήγησης της απαλλαγής είναι μεγαλύτερος, οπότε καταβάλλεται ο μεγαλύτερος αυτός φόρος.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Απαλλαγή από φόρο εισοδήματος</w:t>
      </w:r>
    </w:p>
    <w:p>
      <w:pPr>
        <w:pStyle w:val="MainText"/>
        <w:spacing w:before="120" w:after="0"/>
        <w:rPr>
          <w:lang w:val="el" w:eastAsia="el"/>
        </w:rPr>
      </w:pPr>
      <w:r>
        <w:rPr>
          <w:b/>
          <w:bCs/>
          <w:lang w:val="el" w:eastAsia="el"/>
        </w:rPr>
        <w:t>1.</w:t>
      </w:r>
      <w:r>
        <w:rPr>
          <w:lang w:val="el" w:eastAsia="el"/>
        </w:rPr>
        <w:t xml:space="preserve"> Δικαιούχοι του εν λόγω κινήτρου δύνανται να είναι επιχειρήσεις που ασκούν επιχειρηματική δραστηριότητα του δευτέρου μέρους του Ν.3982/2011, οι οποίες μετεγκαθιστούν την επιχειρηματική τους δραστηριότητα σε Επιχειρηματικά Πάρκα, ΒΕΠΕ, ΒΙΠΕ, ΒΙΠΑ και ΒΙΟΠΑ, ανεξάρτητα από τη νομική μορφή με την οποία λειτουργούν.</w:t>
      </w:r>
    </w:p>
    <w:p>
      <w:pPr>
        <w:pStyle w:val="MainText"/>
        <w:spacing w:before="120" w:after="0"/>
        <w:rPr>
          <w:lang w:val="el" w:eastAsia="el"/>
        </w:rPr>
      </w:pPr>
      <w:r>
        <w:rPr>
          <w:b/>
          <w:bCs/>
          <w:lang w:val="el" w:eastAsia="el"/>
        </w:rPr>
        <w:t>2.</w:t>
      </w:r>
      <w:r>
        <w:rPr>
          <w:lang w:val="el" w:eastAsia="el"/>
        </w:rPr>
        <w:t xml:space="preserve"> Η υπεραξία που προκύπτει από την πώληση ακινήτων και λοιπών εγκαταστάσεων των επιχειρήσεων της προηγούμενης παραγράφου, οι οποίες μετεγκαθίστανται στις παραπάνω περιοχές, απαλλάσσεται από το φόρο εισοδήματος κατά το μέρος που αντιστοιχεί στο κόστος μετεγκατάστασής τους. Στο κόστος μετεγκατάστασης δεν περιλαμβάνεται το κόστος αγοράς νέων πάγιων στοιχείων. Η απαλλαγή αυτή χορηγείται με την προϋπόθεση ότι το ποσό της προκύπτουσας υπεραξίας θα εμφανισθεί σε ιδιαίτερο λογαριασμό αφορολόγητου αποθεματικού, ανεξάρτητα από τη νομική μορφή της επιχείρησης και την κατηγορία των βιβλίων του Κ.Β.Σ. που τηρούν.</w:t>
      </w:r>
    </w:p>
    <w:p>
      <w:pPr>
        <w:pStyle w:val="MainText"/>
        <w:spacing w:before="120" w:after="0"/>
        <w:rPr>
          <w:lang w:val="el" w:eastAsia="el"/>
        </w:rPr>
      </w:pPr>
      <w:r>
        <w:rPr>
          <w:b/>
          <w:bCs/>
          <w:lang w:val="el" w:eastAsia="el"/>
        </w:rPr>
        <w:t>3.</w:t>
      </w:r>
      <w:r>
        <w:rPr>
          <w:lang w:val="el" w:eastAsia="el"/>
        </w:rPr>
        <w:t xml:space="preserve"> Σε περίπτωση διανομής ή κεφαλαιοποίησης του πιο πάνω αποθεματικού, αυτό υπόκειται σε φορολογία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τα νομικά πρόσωπα της παραγράφου 1 του άρθρου 101 του Ν.2238/1994 (ΦΕΚ Α’ 151), με βάση τις διατάξεις της παραγράφου 4 του άρθρου 106 του ίδιου νόμου.</w:t>
      </w:r>
    </w:p>
    <w:p>
      <w:pPr>
        <w:pStyle w:val="StructureList1"/>
        <w:spacing w:before="120" w:after="0"/>
        <w:rPr>
          <w:lang w:val="el" w:eastAsia="el"/>
        </w:rPr>
      </w:pPr>
      <w:r>
        <w:rPr>
          <w:lang w:val="el" w:eastAsia="el"/>
        </w:rPr>
        <w:t>β)</w:t>
      </w:r>
      <w:r>
        <w:rPr>
          <w:lang w:val="en" w:eastAsia="en"/>
        </w:rPr>
        <w:tab/>
      </w:r>
      <w:r>
        <w:rPr>
          <w:lang w:val="el" w:eastAsia="el"/>
        </w:rPr>
        <w:t>Για τα πρόσωπα της παραγράφου 4 του άρθρου 2 του Ν.2238/1994, με το συντελεστή που προβλέπεται από τις διατάξεις του άρθρου 10 του ίδιου νόμου. Για την καταβολή του οφειλόμενου φόρου υποβάλλεται ιδιαίτερη δήλωση μέσα στο πρώτο δεκαπενθήμερο του επόμενου μήνα από αυτόν εντός του οποίου λαμβάνεται η απόφαση από το αρμόδιο όργανο για διανομή ή κεφαλαιοποίηση του αποθεματικού. Ο φόρος που προκύπτει καταβάλλεται σε τρεις (3) ίσες μηνιαίες δόσεις, από τις οποίες η πρώτη ταυτόχρονα με την υποβολή της δήλωσης, οι δε υπόλοιπες δύο μέχρι την τελευταία εργάσιμη ημέρα των δύο (2) επόμενων, από την υποβολή της δήλωσης, μηνών.</w:t>
      </w:r>
    </w:p>
    <w:p>
      <w:pPr>
        <w:pStyle w:val="StructureList1"/>
        <w:spacing w:before="120" w:after="0"/>
        <w:rPr>
          <w:lang w:val="el" w:eastAsia="el"/>
        </w:rPr>
      </w:pPr>
      <w:r>
        <w:rPr>
          <w:lang w:val="el" w:eastAsia="el"/>
        </w:rPr>
        <w:t>γ)</w:t>
      </w:r>
      <w:r>
        <w:rPr>
          <w:lang w:val="en" w:eastAsia="en"/>
        </w:rPr>
        <w:tab/>
      </w:r>
      <w:r>
        <w:rPr>
          <w:lang w:val="el" w:eastAsia="el"/>
        </w:rPr>
        <w:t>Για τις ατομικές επιχειρήσεις, το διανεμόμενο ή κεφαλαιοποιούμενο αποθεματικό προστίθεται στα κέρδη της επιχείρησης στη χρήση εντός της οποίας πραγματοποιήθηκε η διανομή ή κεφαλαιοποίηση του αποθεματικού.</w:t>
      </w:r>
    </w:p>
    <w:p>
      <w:pPr>
        <w:pStyle w:val="MainText"/>
        <w:spacing w:before="120" w:after="0"/>
        <w:rPr>
          <w:lang w:val="el" w:eastAsia="el"/>
        </w:rPr>
      </w:pPr>
      <w:r>
        <w:rPr>
          <w:b/>
          <w:bCs/>
          <w:lang w:val="el" w:eastAsia="el"/>
        </w:rPr>
        <w:t>4.</w:t>
      </w:r>
      <w:r>
        <w:rPr>
          <w:lang w:val="el" w:eastAsia="el"/>
        </w:rPr>
        <w:t xml:space="preserve"> Σε περίπτωση που η επιχείρηση παύει τη δραστηριότητά της εντός του Επιχειρηματικού Πάρκου ΒΙΠΕ,ΒΕΠΕ,ΒΙΠΑ και ΒΙΟΠΑ πριν την πάροδο πέντε (5) ετών από τη μετεγκατάστασή της, έχουν εφαρμογή οι διατάξεις των περιπτώσεων β’ και γ’ της προηγούμενης παραγράφου, ενώ για τα νομικά πρόσωπα της παραγράφου 1 του άρθρου 101 του Ν. 2238/1994 το αφορολόγητο αποθεματικό φορολογείται με βάση τις διατάξεις της </w:t>
      </w:r>
    </w:p>
    <w:p>
      <w:pPr>
        <w:spacing w:before="240" w:after="240"/>
        <w:rPr>
          <w:lang w:val="el" w:eastAsia="el"/>
        </w:rPr>
      </w:pPr>
      <w:r>
        <w:rPr>
          <w:lang w:val="el" w:eastAsia="el"/>
        </w:rPr>
        <w:t>παραγράφου 4 του άρθρου 106 του ίδιου νόμου, στη χρήση εντός της οποίας έπαυσε η επιχείρηση τις δραστηριότητές της.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Εξαιρέσεις</w:t>
      </w:r>
    </w:p>
    <w:p>
      <w:pPr>
        <w:spacing w:before="240" w:after="240"/>
        <w:rPr>
          <w:lang w:val="el" w:eastAsia="el"/>
        </w:rPr>
      </w:pPr>
      <w:r>
        <w:rPr>
          <w:lang w:val="el" w:eastAsia="el"/>
        </w:rPr>
        <w:t>Σύμφωνα με την παράγραφο 3 του άρθρου 1 του Γενικού Απαλλακτικού Κανονισμού 800/2008, στο καθεστώς ενισχύσεων του οποίου υπάγεται ο Ν.3982/2011, οι προβλεπόμενες στο άρθρο 62 φοροαπαλλαγές δεν εφαρμόζονται προς ενίσχυση δραστηριοτήτων:</w:t>
      </w:r>
    </w:p>
    <w:p>
      <w:pPr>
        <w:pStyle w:val="StructureList1"/>
        <w:spacing w:before="120" w:after="0"/>
        <w:rPr>
          <w:lang w:val="el" w:eastAsia="el"/>
        </w:rPr>
      </w:pPr>
      <w:r>
        <w:rPr>
          <w:lang w:val="el" w:eastAsia="el"/>
        </w:rPr>
        <w:t>α)</w:t>
      </w:r>
      <w:r>
        <w:rPr>
          <w:lang w:val="en" w:eastAsia="en"/>
        </w:rPr>
        <w:tab/>
      </w:r>
      <w:r>
        <w:rPr>
          <w:lang w:val="el" w:eastAsia="el"/>
        </w:rPr>
        <w:t>στον τομέα του άνθρακα, με εξαίρεση τις ενισχύσεις για επαγγελματική εκπαίδευση, τις ενισχύσεις για έρευνα και ανάπτυξη και καινοτομία και τις ενισχύσεις για την προστασία του περιβάλλοντος,</w:t>
      </w:r>
    </w:p>
    <w:p>
      <w:pPr>
        <w:pStyle w:val="StructureList1"/>
        <w:spacing w:before="120" w:after="0"/>
        <w:rPr>
          <w:lang w:val="el" w:eastAsia="el"/>
        </w:rPr>
      </w:pPr>
      <w:r>
        <w:rPr>
          <w:lang w:val="el" w:eastAsia="el"/>
        </w:rPr>
        <w:t>β)</w:t>
      </w:r>
      <w:r>
        <w:rPr>
          <w:lang w:val="en" w:eastAsia="en"/>
        </w:rPr>
        <w:tab/>
      </w:r>
      <w:r>
        <w:rPr>
          <w:lang w:val="el" w:eastAsia="el"/>
        </w:rPr>
        <w:t>στον τομέα του χάλυβα,</w:t>
      </w:r>
    </w:p>
    <w:p>
      <w:pPr>
        <w:pStyle w:val="StructureList1"/>
        <w:spacing w:before="120" w:after="0"/>
        <w:rPr>
          <w:lang w:val="el" w:eastAsia="el"/>
        </w:rPr>
      </w:pPr>
      <w:r>
        <w:rPr>
          <w:lang w:val="el" w:eastAsia="el"/>
        </w:rPr>
        <w:t>γ)</w:t>
      </w:r>
      <w:r>
        <w:rPr>
          <w:lang w:val="en" w:eastAsia="en"/>
        </w:rPr>
        <w:tab/>
      </w:r>
      <w:r>
        <w:rPr>
          <w:lang w:val="el" w:eastAsia="el"/>
        </w:rPr>
        <w:t>στον τομέα της ναυπηγίας και</w:t>
      </w:r>
    </w:p>
    <w:p>
      <w:pPr>
        <w:pStyle w:val="StructureList1"/>
        <w:spacing w:before="120" w:after="0"/>
        <w:rPr>
          <w:lang w:val="el" w:eastAsia="el"/>
        </w:rPr>
      </w:pPr>
      <w:r>
        <w:rPr>
          <w:lang w:val="el" w:eastAsia="el"/>
        </w:rPr>
        <w:t>δ)</w:t>
      </w:r>
      <w:r>
        <w:rPr>
          <w:lang w:val="en" w:eastAsia="en"/>
        </w:rPr>
        <w:tab/>
      </w:r>
      <w:r>
        <w:rPr>
          <w:lang w:val="el" w:eastAsia="el"/>
        </w:rPr>
        <w:t>στον τομέα των συνθετικών ινών.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θα δημοσιευθεί στην Εφημερίδα της Κυβερνήσεως και η ισχύς της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Μαρτίου 2012</w:t>
      </w:r>
    </w:p>
    <w:p>
      <w:pPr>
        <w:spacing w:before="240" w:after="240"/>
        <w:rPr>
          <w:lang w:val="el" w:eastAsia="el"/>
        </w:rPr>
      </w:pPr>
      <w:r>
        <w:rPr>
          <w:lang w:val="el" w:eastAsia="el"/>
        </w:rPr>
        <w:t>ΟΙ ΑΝΑΠΛΗΡΕΣ ΥΠΟΥΡΓΟΙ</w:t>
      </w:r>
    </w:p>
    <w:p>
      <w:pPr>
        <w:spacing w:before="240" w:after="240"/>
        <w:rPr>
          <w:lang w:val="el" w:eastAsia="el"/>
        </w:rPr>
      </w:pPr>
      <w:r>
        <w:rPr>
          <w:lang w:val="el" w:eastAsia="el"/>
        </w:rPr>
        <w:t>ΟΙΚΟΝΟΜΙΚΩΝ ΑΝΑΠΤΥΞΗΣ,ΑΝΤΑΓΩΝΙΣΤΙΚΟΤΗΤΑΣ ΚΑΙ ΝΑΥΤΙΛΙΑΣ</w:t>
      </w:r>
    </w:p>
    <w:p>
      <w:pPr>
        <w:spacing w:before="240" w:after="240"/>
        <w:rPr>
          <w:lang w:val="el" w:eastAsia="el"/>
        </w:rPr>
      </w:pPr>
      <w:r>
        <w:rPr>
          <w:b/>
          <w:bCs/>
          <w:lang w:val="el" w:eastAsia="el"/>
        </w:rPr>
        <w:t>ΠΑΝΤΕΛΗΣ ΟΙΚΟΝΟΜΟΥ ΣΩΚΡΑΤΗΣ ΞΥΝΙΔΗΣ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
    <w:name w:val="listitem-"/>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