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1104</w:t>
      </w:r>
    </w:p>
    <w:p>
      <w:pPr>
        <w:spacing w:before="240" w:after="240"/>
        <w:rPr>
          <w:lang w:val="el" w:eastAsia="el"/>
        </w:rPr>
      </w:pPr>
      <w:r>
        <w:rPr>
          <w:lang w:val="el" w:eastAsia="el"/>
        </w:rPr>
        <w:t>Τύπος και περιεχόμενο της δήλωσης ειδικού φόρου επί των ακινήτων έτους 2012 και δικαιολογητικά που συνυποβάλλονται με αυτή.</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15 έως 17 του Ν. 3091/2002 (Φ.Ε.Κ. 330/Α’/24-12-2002), όπως ισχύει.</w:t>
      </w:r>
    </w:p>
    <w:p>
      <w:pPr>
        <w:spacing w:before="240" w:after="240"/>
        <w:rPr>
          <w:lang w:val="el" w:eastAsia="el"/>
        </w:rPr>
      </w:pPr>
      <w:r>
        <w:rPr>
          <w:lang w:val="el" w:eastAsia="el"/>
        </w:rPr>
        <w:t>2. Τις διατάξεις της παραγράφου 9 του άρθρου 17 του Ν. 3091/2002, όπως ισχύει, με την οποία εξουσιοδοτείται ο Υπουργός Οικονομικών και καθορίζει τον τύπο και το περιεχόμενο της δήλωσης ειδικού φόρου.</w:t>
      </w:r>
    </w:p>
    <w:p>
      <w:pPr>
        <w:spacing w:before="240" w:after="240"/>
        <w:rPr>
          <w:lang w:val="el" w:eastAsia="el"/>
        </w:rPr>
      </w:pPr>
      <w:r>
        <w:rPr>
          <w:lang w:val="el" w:eastAsia="el"/>
        </w:rPr>
        <w:t>3. Τις διατάξεις του άρθρου 68 του Ν. 2961/2001 (Φ.Ε.Κ. 266/Α’/22-11-2001).</w:t>
      </w:r>
    </w:p>
    <w:p>
      <w:pPr>
        <w:spacing w:before="240" w:after="240"/>
        <w:rPr>
          <w:lang w:val="el" w:eastAsia="el"/>
        </w:rPr>
      </w:pPr>
      <w:r>
        <w:rPr>
          <w:lang w:val="el" w:eastAsia="el"/>
        </w:rPr>
        <w:t>4. Τις διατάξεις του άρθρου 41 του Ν. 1249/1982 (Φ.Ε.Κ. 43/Α’), του άρθρου 14 του Ν. 1473/1984 (Φ.Ε.Κ. 127/Α’), του άρθρου 24 του Ν. 1828/1989 (Φ.Ε.Κ. 2/Α’) και του άρθρου 10 του Ν. 2386/1996 (Φ.Ε.Κ. 43/Α’).</w:t>
      </w:r>
    </w:p>
    <w:p>
      <w:pPr>
        <w:spacing w:before="240" w:after="240"/>
        <w:rPr>
          <w:lang w:val="el" w:eastAsia="el"/>
        </w:rPr>
      </w:pPr>
      <w:r>
        <w:rPr>
          <w:lang w:val="el" w:eastAsia="el"/>
        </w:rPr>
        <w:t>5. Την 1067780/82/Γ0013/9-6-1994 ΠΟΛ 1149 (Φ.Ε.Κ. 549/Β’) απόφαση 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w:t>
      </w:r>
    </w:p>
    <w:p>
      <w:pPr>
        <w:spacing w:before="240" w:after="240"/>
        <w:rPr>
          <w:lang w:val="el" w:eastAsia="el"/>
        </w:rPr>
      </w:pPr>
      <w:r>
        <w:rPr>
          <w:lang w:val="el" w:eastAsia="el"/>
        </w:rPr>
        <w:t>6. Την 1129485/479/Γ0013/3-12-1996 ΠΟΛ 1310 (Φ.Ε.Κ. 1152/Β’) απόφαση Υπουργού Οικονομικών «Προσδιορισμός με αντικειμενικά κριτήρια, κατ’ άρθρο 41Α του Ν. 1249/1982, αξίας κτισμάτων ακινήτων τα οποία βρίσκονται σε περιοχές που δεν ισχύει το σύστημα του αντικειμενικού προσδιορισμού».</w:t>
      </w:r>
    </w:p>
    <w:p>
      <w:pPr>
        <w:spacing w:before="240" w:after="240"/>
        <w:rPr>
          <w:lang w:val="el" w:eastAsia="el"/>
        </w:rPr>
      </w:pPr>
      <w:r>
        <w:rPr>
          <w:lang w:val="el" w:eastAsia="el"/>
        </w:rPr>
        <w:t>7. Την 1079551/105/Γ0013/11-7-1994 ΠΟΛ 1173 (Φ.Ε.Κ. 554/ Β’) απόφαση Υπουργού Οικονομικών «Τύπος και περιεχόμενο φύλλων υπολογισμού φορολογητέας αξίας ακινήτων».</w:t>
      </w:r>
    </w:p>
    <w:p>
      <w:pPr>
        <w:spacing w:before="240" w:after="240"/>
        <w:rPr>
          <w:lang w:val="el" w:eastAsia="el"/>
        </w:rPr>
      </w:pPr>
      <w:r>
        <w:rPr>
          <w:lang w:val="el" w:eastAsia="el"/>
        </w:rPr>
        <w:t>8. Την 1108284/384/Γ0013/25-2-1995 ΠΟΛ 1241 (Φ.Ε.Κ. 825/Β’) απόφαση Υπουργού Οικονομικών «Τροποποίηση της αριθμ. 1079551/105/Γ0013/11-7-1994 ΠΟΛ 1173 Φ.Ε.Κ. 554/Β’/18.7.1994 απόφασης περί του τύπου και περιεχομένου των φύλλων υπολογισμού φορολογητέας αξίας ακινήτων».</w:t>
      </w:r>
    </w:p>
    <w:p>
      <w:pPr>
        <w:spacing w:before="240" w:after="240"/>
        <w:rPr>
          <w:lang w:val="el" w:eastAsia="el"/>
        </w:rPr>
      </w:pPr>
      <w:r>
        <w:rPr>
          <w:lang w:val="el" w:eastAsia="el"/>
        </w:rPr>
        <w:t>9. Την 1129487/480/Γ0013/3-12-1996 ΠΟΛ 1311 (Φ.Ε.Κ. 1152/Β’) απόφαση Υπουργού Οικονομικών «Τύπος και περιεχόμενο φύλλων υπολογισμού φορολογητέας αξίας ακινήτων».</w:t>
      </w:r>
    </w:p>
    <w:p>
      <w:pPr>
        <w:spacing w:before="240" w:after="240"/>
        <w:rPr>
          <w:lang w:val="el" w:eastAsia="el"/>
        </w:rPr>
      </w:pPr>
      <w:r>
        <w:rPr>
          <w:lang w:val="el" w:eastAsia="el"/>
        </w:rPr>
        <w:t>10. Την 1107357/5686/ΔΤΥ ΠΟΛ 1220/16-11-1999 (Φ.Ε.Κ. 2082/Β’) απόφαση Υπουργού Οικονομικών «Επέκταση της εφαρμογής του συστήματος αντικειμενικού προσδιορισμού της αξίας γης εκτός σχεδίου πόλης και οικισμού που δεν έχουν ειδικούς όρους δόμησης στους Νομούς Αιτ/νίας κ.λπ.».</w:t>
      </w:r>
    </w:p>
    <w:p>
      <w:pPr>
        <w:spacing w:before="240" w:after="240"/>
        <w:rPr>
          <w:lang w:val="el" w:eastAsia="el"/>
        </w:rPr>
      </w:pPr>
      <w:r>
        <w:rPr>
          <w:lang w:val="el" w:eastAsia="el"/>
        </w:rPr>
        <w:t>11. Την 1121210/6271/ΔΤΥ ΠΟΛ 1266/27-12-1999 (Φ.Ε.Κ. 2260/Β’) απόφαση Υπουργού Οικονομικών «Επέκταση της εφαρμογής του συστήματος αντικειμενικού προσδιορισμού της αξίας γης εκτός σχεδίου πόλης και οικισμών που δεν έχουν ειδικούς όρους δόμησης στους Νομούς Δράμας κ.λπ.».</w:t>
      </w:r>
    </w:p>
    <w:p>
      <w:pPr>
        <w:spacing w:before="240" w:after="240"/>
        <w:rPr>
          <w:lang w:val="el" w:eastAsia="el"/>
        </w:rPr>
      </w:pPr>
      <w:r>
        <w:rPr>
          <w:lang w:val="el" w:eastAsia="el"/>
        </w:rPr>
        <w:t>12. Την 1175023/3752/00ΤΥ/Δ/28-12-2010 ΠΟΛ 1200 (Φ.Ε.Κ. 2038/Β’) απόφαση Υπουργού Οικονομικών «Έναρξη ισχύος των διατάξεων των άρθ. 41 και 41α του Ν. 1249/82 και 14 του Ν. 1473/84 και καθορισμός τιμών εκκίνησης και συντελεστών αυξομείωσης τους για τον προσδιορισμό της φορολογητέας αξίας των ακινήτων που βρίσκονται σε περιοχές εντός 4.489 οικισμών των Νομών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w:t>
      </w:r>
    </w:p>
    <w:p>
      <w:pPr>
        <w:spacing w:before="240" w:after="240"/>
        <w:rPr>
          <w:lang w:val="el" w:eastAsia="el"/>
        </w:rPr>
      </w:pPr>
      <w:r>
        <w:rPr>
          <w:lang w:val="el" w:eastAsia="el"/>
        </w:rPr>
        <w:t>13. Την ΠΟΛ 1112/12-05-2011 (Φ.Ε.Κ. 1242/Β’) απόφαση Υπουργού Οικονομικών «Διαδικασία χορήγησης των απαλλαγών από τον ειδικό φόρο επί των ακινήτων των περιπτώσεων γ’ και στ’ της παραγράφου 2 και δ’ της παραγράφου 3 του άρθρου 15 του Ν. 3091/2002, απαιτούμενα δικαιολογητικά και ημερομηνία υποβολής των σχετικών αιτήσεων για το έτος 2011 και κάθε επόμενο».</w:t>
      </w:r>
    </w:p>
    <w:p>
      <w:pPr>
        <w:spacing w:before="240" w:after="240"/>
        <w:rPr>
          <w:lang w:val="el" w:eastAsia="el"/>
        </w:rPr>
      </w:pPr>
      <w:r>
        <w:rPr>
          <w:lang w:val="el" w:eastAsia="el"/>
        </w:rPr>
        <w:t>14. Την ΠΟΛ 1114/17-5-2011 (Φ.Ε.Κ. 1269/Β’) απόφαση Υπουργού Οικονομικών «Συμπλήρωση και τροποποίηση της Α.Υ.Ο. ΠΟΛ 1093/14-06-2010 σχετικά με τα δικαιολογητικά που απαιτούνται για την εξαίρεση των νομικών προσώπων από τον ειδικό φόρο επί των ακινήτων, σύμφωνα με το άρθρο 15 του Ν. 3091/2002 (Φ.Ε.Κ. 330/Α’), όπως αντικαταστάθηκε με το άρθρο 57 του Ν. 3842/2010 (Φ.Ε.Κ. 58/Α’) και τροποποιήθηκε με το άρθρο 24 του Ν. 3943/2011 (Φ.Ε.Κ. 66/Α’)».</w:t>
      </w:r>
    </w:p>
    <w:p>
      <w:pPr>
        <w:spacing w:before="240" w:after="240"/>
        <w:rPr>
          <w:lang w:val="el" w:eastAsia="el"/>
        </w:rPr>
      </w:pPr>
      <w:r>
        <w:rPr>
          <w:lang w:val="el" w:eastAsia="el"/>
        </w:rPr>
        <w:t>15. Το γεγονός ότι η απόφαση αυτή ρυθμίζει διαδικαστικά ζητήματα, για την ομοιόμορφη εκπλήρωση των φορολογικών υποχρεώσεων από τους υπόχρεους, οι οποίες καθορίζονται με το άρθρο 15 του Ν. 3091/2002 (Φ.Ε.Κ. 330/Α’) και δεν προκαλείται δαπάνη σε βάρος του Κρατικού Προϋπολογισμού.</w:t>
      </w:r>
    </w:p>
    <w:p>
      <w:pPr>
        <w:spacing w:before="240" w:after="240"/>
        <w:rPr>
          <w:lang w:val="el" w:eastAsia="el"/>
        </w:rPr>
      </w:pPr>
      <w:r>
        <w:rPr>
          <w:lang w:val="el" w:eastAsia="el"/>
        </w:rPr>
        <w:t>16. Την αριθ. Υ25/8-12-2011 απόφαση Πρωθυπουργού (Φ.Ε.Κ. 2792/Β’) «Καθορισμός αρμοδιοτήτων των Αναπληρωτών Υπουργών Οικονομικών», αποφασίζουμε:</w:t>
      </w:r>
    </w:p>
    <w:p>
      <w:pPr>
        <w:spacing w:before="240" w:after="240"/>
        <w:rPr>
          <w:lang w:val="el" w:eastAsia="el"/>
        </w:rPr>
      </w:pPr>
      <w:r>
        <w:rPr>
          <w:lang w:val="el" w:eastAsia="el"/>
        </w:rPr>
        <w:t>1. Για το έτος 2012 ο τύπος και το περιεχόμενο της δήλωσης ειδικού φόρου επί των ακινήτων έχει ως το συνημμένο υπόδειγμα, το οποίο αποτελεί αναπόσπαστο τμήμα της απόφασης αυτής.</w:t>
      </w:r>
    </w:p>
    <w:p>
      <w:pPr>
        <w:spacing w:before="240" w:after="240"/>
        <w:rPr>
          <w:lang w:val="el" w:eastAsia="el"/>
        </w:rPr>
      </w:pPr>
      <w:r>
        <w:rPr>
          <w:lang w:val="el" w:eastAsia="el"/>
        </w:rPr>
        <w:t>2. Η δήλωση υποβάλλεται σε ένα αντίτυπο και συνοδεύεται κατά περίπτωση από:</w:t>
      </w:r>
    </w:p>
    <w:p>
      <w:pPr>
        <w:spacing w:before="240" w:after="240"/>
        <w:rPr>
          <w:lang w:val="el" w:eastAsia="el"/>
        </w:rPr>
      </w:pPr>
      <w:r>
        <w:rPr>
          <w:lang w:val="el" w:eastAsia="el"/>
        </w:rPr>
        <w:t>α. τα φύλλα υπολογισμού της αξίας ακινήτων (έντυπα 1 – 5, Κ1 – Κ9 και Α.Α.ΓΗΣ) και τις βεβαιώσεις που προβλέπονται για τη συμπλήρωσή τους. Τα φύλλα υπολογισμού της αξίας ακινήτων (έντυπα 1 – 5, Κ1 – Κ9 και Α.Α.ΓΗΣ) είναι δυνατόν να υποβληθούν σε μηχανογραφικό χαρτί, εφόσον περιλαμβάνονται όλα τα στοιχεία που περιέχονται στα οικεία φύλλα. Για οποιαδήποτε ανακρίβεια ή παράλειψη των ανωτέρω στοιχείων, επιβάλλονται οι προβλεπόμενες από τις διατάξεις των άρθρων 1 και 4 του Ν. 2523/1997 (ΦΕΚ 179/Α’) κυρώσεις.</w:t>
      </w:r>
    </w:p>
    <w:p>
      <w:pPr>
        <w:spacing w:before="240" w:after="240"/>
        <w:rPr>
          <w:lang w:val="el" w:eastAsia="el"/>
        </w:rPr>
      </w:pPr>
      <w:r>
        <w:rPr>
          <w:lang w:val="el" w:eastAsia="el"/>
        </w:rPr>
        <w:t>β. αντίγραφο της απόφασης χορήγησης της απαλλαγής ακινήτου σύμφωνα με τις περιπτώσεις γ’ και στ’ της παραγράφου 2 και δ’ της παραγράφου 3 του άρθρου 15 του Ν. 3091/2002, όπως αυτά έχουν προσδιοριστεί με την ΠΟΛ 1112/2011 ΑΥΟ.</w:t>
      </w:r>
    </w:p>
    <w:p>
      <w:pPr>
        <w:spacing w:before="240" w:after="240"/>
        <w:rPr>
          <w:lang w:val="el" w:eastAsia="el"/>
        </w:rPr>
      </w:pPr>
      <w:r>
        <w:rPr>
          <w:lang w:val="el" w:eastAsia="el"/>
        </w:rPr>
        <w:t>γ. δικαιολογητικά απαλλαγής από το φόρο όπως αυτά έχουν ορισθεί σύμφωνα με τις ΠΟΛ 1093/2010 και</w:t>
      </w:r>
    </w:p>
    <w:p>
      <w:pPr>
        <w:spacing w:before="240" w:after="240"/>
        <w:rPr>
          <w:lang w:val="el" w:eastAsia="el"/>
        </w:rPr>
      </w:pPr>
      <w:r>
        <w:rPr>
          <w:lang w:val="el" w:eastAsia="el"/>
        </w:rPr>
        <w:t>ΠΟΛ 1114/2011, για τις εταιρείες οι οποίες υποχρεούνται σε υποβολή δήλωσης ειδικού φόρου επί ακινήτων και απαλλάσσονται από την υποχρέωση καταβολής του φόρου.</w:t>
      </w:r>
    </w:p>
    <w:p>
      <w:pPr>
        <w:spacing w:before="240" w:after="240"/>
        <w:rPr>
          <w:lang w:val="el" w:eastAsia="el"/>
        </w:rPr>
      </w:pPr>
      <w:r>
        <w:rPr>
          <w:lang w:val="el" w:eastAsia="el"/>
        </w:rPr>
        <w:t>3. Για τα απαλλασσόμενα ακίνητα δεν απαιτείται η συνυποβολή των φύλλων υπολογισμού της αξίας τους.</w:t>
      </w:r>
    </w:p>
    <w:p>
      <w:pPr>
        <w:spacing w:before="240" w:after="240"/>
        <w:rPr>
          <w:lang w:val="el" w:eastAsia="el"/>
        </w:rPr>
      </w:pPr>
      <w:r>
        <w:rPr>
          <w:lang w:val="el" w:eastAsia="el"/>
        </w:rPr>
        <w:t>4. Τα δικαιολογητικά που υποβάλλονται σε άλλη γλώσσα κράτους μέλους της Ε.Ε. πλην της Ελληνικής απαιτείται να συνοδεύονται από επίσημη μετάφραση.</w:t>
      </w:r>
    </w:p>
    <w:p>
      <w:pPr>
        <w:spacing w:before="240" w:after="240"/>
        <w:rPr>
          <w:lang w:val="el" w:eastAsia="el"/>
        </w:rPr>
      </w:pPr>
      <w:r>
        <w:rPr>
          <w:lang w:val="el" w:eastAsia="el"/>
        </w:rPr>
        <w:t>5. Η δήλωση της παραγράφου 1 είναι δυνατό να υποβληθεί σε φύλλο που έχει εκτυπωθεί σε απλό μηχανογραφικό χαρτί, εφόσον συντρέχουν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να περιέχονται όλα τα προβλεπόμενα στοιχεία του εντύπου, σύμφωνα με την παράγραφο 1 της παρούσας και οι διαστάσεις να βρίσκονται μεταξύ των ορίων Α3 και 11 Χ 13 ½ in. (280 χιλ. Χ 353 χιλ.).</w:t>
      </w:r>
    </w:p>
    <w:p>
      <w:pPr>
        <w:pStyle w:val="StructureList1"/>
        <w:spacing w:before="120" w:after="0"/>
        <w:rPr>
          <w:lang w:val="el" w:eastAsia="el"/>
        </w:rPr>
      </w:pPr>
      <w:r>
        <w:rPr>
          <w:lang w:val="el" w:eastAsia="el"/>
        </w:rPr>
        <w:t>β)</w:t>
      </w:r>
      <w:r>
        <w:rPr>
          <w:lang w:val="en" w:eastAsia="en"/>
        </w:rPr>
        <w:tab/>
      </w:r>
      <w:r>
        <w:rPr>
          <w:lang w:val="el" w:eastAsia="el"/>
        </w:rPr>
        <w:t>Η γραμματοσειρά που θα χρησιμοποιείται να είναι ευανάγνωστη – έντονη, τα γράμματα και οι αριθμοί να μην εφάπτονται μεταξύ τους.</w:t>
      </w:r>
    </w:p>
    <w:p>
      <w:pPr>
        <w:pStyle w:val="StructureList1"/>
        <w:spacing w:before="120" w:after="0"/>
        <w:rPr>
          <w:lang w:val="el" w:eastAsia="el"/>
        </w:rPr>
      </w:pPr>
      <w:r>
        <w:rPr>
          <w:lang w:val="el" w:eastAsia="el"/>
        </w:rPr>
        <w:t>γ)</w:t>
      </w:r>
      <w:r>
        <w:rPr>
          <w:lang w:val="en" w:eastAsia="en"/>
        </w:rPr>
        <w:tab/>
      </w:r>
      <w:r>
        <w:rPr>
          <w:lang w:val="el" w:eastAsia="el"/>
        </w:rPr>
        <w:t>Οι καταχωρήσεις να μην εφάπτονται ή να καλύπτονται από τις κάθετες ή οριζόντιες γραμμές του εντύπου.</w:t>
      </w:r>
    </w:p>
    <w:p>
      <w:pPr>
        <w:pStyle w:val="StructureList1"/>
        <w:spacing w:before="120" w:after="0"/>
        <w:rPr>
          <w:lang w:val="el" w:eastAsia="el"/>
        </w:rPr>
      </w:pPr>
      <w:r>
        <w:rPr>
          <w:lang w:val="el" w:eastAsia="el"/>
        </w:rPr>
        <w:t>δ)</w:t>
      </w:r>
      <w:r>
        <w:rPr>
          <w:lang w:val="en" w:eastAsia="en"/>
        </w:rPr>
        <w:tab/>
      </w:r>
      <w:r>
        <w:rPr>
          <w:lang w:val="el" w:eastAsia="el"/>
        </w:rPr>
        <w:t>Δεδομένου ότι το μηχανογραφικό έντυπο είναι συνεχές, κατά την υποβολή του στη Δ.Ο.Υ. θα πρέπει:</w:t>
      </w:r>
    </w:p>
    <w:p>
      <w:pPr>
        <w:spacing w:before="240" w:after="240"/>
        <w:rPr>
          <w:lang w:val="el" w:eastAsia="el"/>
        </w:rPr>
      </w:pPr>
      <w:r>
        <w:rPr>
          <w:lang w:val="el" w:eastAsia="el"/>
        </w:rPr>
        <w:t>I. σε κάθε σελίδα της υποβαλλόμενης κατάστασης στοιχείων ακινήτων σε μηχανογραφικό έντυπο και στο επάνω αριστερό τμήμα της να αναγράφεται ο Α.Φ.Μ. του υπόχρεου.</w:t>
      </w:r>
    </w:p>
    <w:p>
      <w:pPr>
        <w:spacing w:before="240" w:after="240"/>
        <w:rPr>
          <w:lang w:val="el" w:eastAsia="el"/>
        </w:rPr>
      </w:pPr>
      <w:r>
        <w:rPr>
          <w:lang w:val="el" w:eastAsia="el"/>
        </w:rPr>
        <w:t>II. οι δύο σελίδες του υποβαλλόμενου εντύπου να είναι συρραμμένες σταθερά έτσι ώστε να εξασφαλίζεται η ενότητα του εντύπου σύμφωνα με την παράγραφο 1 του παρόντος άρθρου.</w:t>
      </w:r>
    </w:p>
    <w:p>
      <w:pPr>
        <w:spacing w:before="240" w:after="240"/>
        <w:rPr>
          <w:lang w:val="el" w:eastAsia="el"/>
        </w:rPr>
      </w:pPr>
      <w:r>
        <w:rPr>
          <w:lang w:val="el" w:eastAsia="el"/>
        </w:rPr>
        <w:t>Για οποιαδήποτε ανακρίβεια ή παράλειψη των ανωτέρω στοιχείων, επιβάλλονται οι προβλεπόμενες από τις διατάξεις των άρθρων 1 και 4 του Ν. 2523/1997 (ΦΕΚ 179/Α’) κυρώσεις.</w:t>
      </w:r>
    </w:p>
    <w:p>
      <w:pPr>
        <w:spacing w:before="240" w:after="240"/>
        <w:rPr>
          <w:lang w:val="el" w:eastAsia="el"/>
        </w:rPr>
      </w:pPr>
      <w:r>
        <w:rPr>
          <w:lang w:val="el" w:eastAsia="el"/>
        </w:rPr>
        <w:t>6. Ο προϊστάμενος Δ.Ο.Υ. μπορεί να ζητήσει την προσκόμιση και οποιουδήποτε άλλου αποδεικτικού στοιχείου, όταν κατά τον έλεγχο της δήλωσης το κρίνει απαραίτητο.</w:t>
      </w:r>
    </w:p>
    <w:p>
      <w:pPr>
        <w:spacing w:before="240" w:after="240"/>
        <w:rPr>
          <w:lang w:val="el" w:eastAsia="el"/>
        </w:rPr>
      </w:pPr>
      <w:r>
        <w:rPr>
          <w:lang w:val="el" w:eastAsia="el"/>
        </w:rPr>
        <w:t>ΕΙΔΟΣ ΔΗΛΩΣΗΣ</w:t>
      </w:r>
    </w:p>
    <w:p>
      <w:pPr>
        <w:spacing w:before="240" w:after="240"/>
        <w:rPr>
          <w:lang w:val="el" w:eastAsia="el"/>
        </w:rPr>
      </w:pPr>
      <w:r>
        <w:rPr>
          <w:lang w:val="el" w:eastAsia="el"/>
        </w:rPr>
        <w:t>ΑΡΧΙΚΗ</w:t>
      </w:r>
    </w:p>
    <w:p>
      <w:pPr>
        <w:spacing w:before="240" w:after="240"/>
        <w:rPr>
          <w:lang w:val="el" w:eastAsia="el"/>
        </w:rPr>
      </w:pPr>
      <w:r>
        <w:rPr>
          <w:lang w:val="el" w:eastAsia="el"/>
        </w:rPr>
        <w:t>ΤΡΟίνΚΗ · ΓΤ«ίΙίΚΗ</w:t>
      </w:r>
    </w:p>
    <w:p>
      <w:pPr>
        <w:spacing w:before="240" w:after="240"/>
        <w:rPr>
          <w:lang w:val="el" w:eastAsia="el"/>
        </w:rPr>
      </w:pPr>
      <w:r>
        <w:rPr>
          <w:lang w:val="el" w:eastAsia="el"/>
        </w:rPr>
        <w:t>ΑΝΑΚλΗΓΚΗ</w:t>
      </w:r>
    </w:p>
    <w:p>
      <w:pPr>
        <w:spacing w:before="240" w:after="240"/>
        <w:rPr>
          <w:lang w:val="el" w:eastAsia="el"/>
        </w:rPr>
      </w:pPr>
      <w:r>
        <w:rPr>
          <w:lang w:val="el" w:eastAsia="el"/>
        </w:rPr>
        <w:t>ΜΕ ΕΠΙΦΥΜΞΙΙ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6"/>
        <w:gridCol w:w="308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ΕΙΔΙΚΟΥ ΦΟΡΟΥ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 ΤΩΝ ΑΚΙΝΗΤΩΝ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ΑΡΙΘΜΟΣ ΔΗΛΩΣΗΣ: </w:t>
            </w:r>
            <w:r>
              <w:rPr>
                <w:rStyle w:val="Hyperlink"/>
                <w:b w:val="0"/>
                <w:bCs w:val="0"/>
                <w:i w:val="0"/>
                <w:iCs w:val="0"/>
                <w:smallCaps w:val="0"/>
                <w:color w:val="000000"/>
                <w:sz w:val="20"/>
                <w:szCs w:val="20"/>
                <w:u w:val="none" w:color="0000EE"/>
                <w:vertAlign w:val="superscript"/>
                <w:lang w:val="el" w:eastAsia="el"/>
              </w:rPr>
              <w:footnoteReference w:id="2"/>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ακίνητα που υπάρχουν την 1η Ιανουάριου 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ΦΑΚΕΛΛΟΥ: |{</w:t>
            </w:r>
          </w:p>
        </w:tc>
      </w:tr>
    </w:tbl>
    <w:p>
      <w:pPr>
        <w:spacing w:before="240" w:after="240"/>
        <w:rPr>
          <w:lang w:val="el" w:eastAsia="el"/>
        </w:rPr>
      </w:pPr>
      <w:r>
        <w:rPr>
          <w:b/>
          <w:bCs/>
          <w:lang w:val="el" w:eastAsia="el"/>
        </w:rPr>
        <w:t>Προς τον ΠροΤστύρενο της Δ,ΟΎ.:</w:t>
      </w:r>
    </w:p>
    <w:p>
      <w:pPr>
        <w:spacing w:before="240" w:after="240"/>
        <w:rPr>
          <w:lang w:val="el" w:eastAsia="el"/>
        </w:rPr>
      </w:pPr>
      <w:r>
        <w:rPr>
          <w:b/>
          <w:bCs/>
          <w:lang w:val="el" w:eastAsia="el"/>
        </w:rPr>
        <w:t>Η δήλιυση του προηγούρηου ίτους υποβλήθηκα στον Προϊστάμενο της Δ.Ο.Υ.:</w:t>
      </w:r>
    </w:p>
    <w:p>
      <w:pPr>
        <w:spacing w:before="240" w:after="240"/>
        <w:rPr>
          <w:lang w:val="el" w:eastAsia="el"/>
        </w:rPr>
      </w:pPr>
      <w:r>
        <w:rPr>
          <w:b/>
          <w:bCs/>
          <w:lang w:val="el" w:eastAsia="el"/>
        </w:rPr>
        <w:t>Α, ΣΤΟΙΧΕΙΑ ΤΟΥ ΝΟΜΙΚΟΥ ΠΡΟΣΩΠΟΥ ή ΝΟΜΙΚΗΣ ΟΝΤΟΤΗΤΑΣ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38"/>
        <w:gridCol w:w="788"/>
        <w:gridCol w:w="286"/>
        <w:gridCol w:w="286"/>
        <w:gridCol w:w="11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(στην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ΕΔΡΑΣ (Σύμφωνα με το καταστατικά)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Β. ΣΤΟΙΧΕΙΑ ΕΚΠΡΟΣΩΠΟΥ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73"/>
        <w:gridCol w:w="788"/>
        <w:gridCol w:w="286"/>
        <w:gridCol w:w="566"/>
        <w:gridCol w:w="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ΠΑΤΡΩΝΥΜΟ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ΤΑΥΤΟΤΗΤΑΣ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ΔΙΕΥΘΥΝΤΗ (στην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2"/>
        <w:gridCol w:w="872"/>
        <w:gridCol w:w="31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ΕΚΚΑΘΑΡΙΣΗ ΕΙΔΙΚΟΥ ΦΟΡΟΥ ΕΠΙ ΤΩΝ AKINHTON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ΠΛΗΡΟΥΣ ΚΥΡΙΟΤΗΤΑΣ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ΨΙΛΗΣ ΚΥΡΙΟΤΗΤΑΣ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ΕΠΙΚΑΡΠΙΑΣ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ΑΞΙΑ ΦΟΡΟΛΟΓΗΤΕΩΝ ΑΚΙΝΗΤΩΝ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ΦΟΡΟΣ ΠΑ ΚΑΤΑΒΟΛΗ (Συν./της Φορ/σης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Πρόσθετος Φόρος % λόγω εκπροθέσμου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ποσό για βεβαίωση ή επιστροφή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οπαλλασσομένων ακινήτων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5"/>
        <w:gridCol w:w="286"/>
        <w:gridCol w:w="2254"/>
        <w:gridCol w:w="1390"/>
        <w:gridCol w:w="286"/>
        <w:gridCol w:w="286"/>
        <w:gridCol w:w="25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Νόμιμος Εκπρόσωπος 2012</w:t>
            </w:r>
          </w:p>
          <w:p>
            <w:pPr>
              <w:spacing w:before="240"/>
              <w:rPr>
                <w:b w:val="0"/>
                <w:bCs w:val="0"/>
                <w:i w:val="0"/>
                <w:iCs w:val="0"/>
                <w:smallCaps w:val="0"/>
                <w:color w:val="000000"/>
                <w:lang w:val="el" w:eastAsia="el"/>
              </w:rPr>
            </w:pPr>
            <w:r>
              <w:rPr>
                <w:b/>
                <w:bCs/>
                <w:i w:val="0"/>
                <w:iCs w:val="0"/>
                <w:smallCaps w:val="0"/>
                <w:color w:val="000000"/>
                <w:lang w:val="el" w:eastAsia="el"/>
              </w:rPr>
              <w:t>ο ΔΗΛΩΝ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Ελέγθηκαν τα αριθμητικά δεδομένα της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ΠΑΡΑΛΜΦΘΗΚΕ</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Εμπρόθεσμα : </w:t>
            </w:r>
            <w:r>
              <w:rPr>
                <w:b/>
                <w:bCs/>
                <w:i w:val="0"/>
                <w:iCs w:val="0"/>
                <w:smallCaps w:val="0"/>
                <w:color w:val="000000"/>
                <w:u w:val="single" w:color="000000"/>
                <w:lang w:val="el" w:eastAsia="el"/>
              </w:rPr>
              <w:t>Γ</w:t>
            </w:r>
            <w:r>
              <w:rPr>
                <w:b/>
                <w:bCs/>
                <w:i w:val="0"/>
                <w:iCs w:val="0"/>
                <w:smallCaps w:val="0"/>
                <w:color w:val="000000"/>
                <w:lang w:val="el" w:eastAsia="el"/>
              </w:rPr>
              <w:t>1 Εκπρόθεσμα : |^~j</w:t>
            </w:r>
          </w:p>
          <w:p>
            <w:pPr>
              <w:spacing w:before="240" w:after="240"/>
              <w:rPr>
                <w:b w:val="0"/>
                <w:bCs w:val="0"/>
                <w:i w:val="0"/>
                <w:iCs w:val="0"/>
                <w:smallCaps w:val="0"/>
                <w:color w:val="000000"/>
                <w:lang w:val="el" w:eastAsia="el"/>
              </w:rPr>
            </w:pPr>
            <w:r>
              <w:rPr>
                <w:b/>
                <w:bCs/>
                <w:i w:val="0"/>
                <w:iCs w:val="0"/>
                <w:smallCaps w:val="0"/>
                <w:color w:val="000000"/>
                <w:lang w:val="el" w:eastAsia="el"/>
              </w:rPr>
              <w:t>Μήνες Εκπρ.j</w:t>
            </w:r>
          </w:p>
          <w:p>
            <w:pPr>
              <w:spacing w:before="240" w:after="240"/>
              <w:rPr>
                <w:b w:val="0"/>
                <w:bCs w:val="0"/>
                <w:i w:val="0"/>
                <w:iCs w:val="0"/>
                <w:smallCaps w:val="0"/>
                <w:color w:val="000000"/>
                <w:lang w:val="el" w:eastAsia="el"/>
              </w:rPr>
            </w:pPr>
            <w:r>
              <w:rPr>
                <w:b/>
                <w:bCs/>
                <w:i w:val="0"/>
                <w:iCs w:val="0"/>
                <w:smallCaps w:val="0"/>
                <w:color w:val="000000"/>
                <w:lang w:val="el" w:eastAsia="el"/>
              </w:rPr>
              <w:t>2012</w:t>
            </w:r>
          </w:p>
          <w:p>
            <w:pPr>
              <w:spacing w:before="240"/>
              <w:rPr>
                <w:b w:val="0"/>
                <w:bCs w:val="0"/>
                <w:i w:val="0"/>
                <w:iCs w:val="0"/>
                <w:smallCaps w:val="0"/>
                <w:color w:val="000000"/>
                <w:lang w:val="el" w:eastAsia="el"/>
              </w:rPr>
            </w:pPr>
            <w:r>
              <w:rPr>
                <w:b/>
                <w:bCs/>
                <w:i w:val="0"/>
                <w:iCs w:val="0"/>
                <w:smallCaps w:val="0"/>
                <w:color w:val="000000"/>
                <w:lang w:val="el" w:eastAsia="el"/>
              </w:rPr>
              <w:t>Ο ΠΑΡΑΛΑΒΩΝ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ενεργήσας τον έλεγχο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Ποσό καταβολής</w:t>
      </w:r>
    </w:p>
    <w:p>
      <w:pPr>
        <w:spacing w:before="240" w:after="240"/>
        <w:rPr>
          <w:lang w:val="el" w:eastAsia="el"/>
        </w:rPr>
      </w:pPr>
      <w:r>
        <w:rPr>
          <w:lang w:val="el" w:eastAsia="el"/>
        </w:rPr>
        <w:t>0 Επιμελητής Είσπραξης</w:t>
      </w:r>
    </w:p>
    <w:p>
      <w:pPr>
        <w:spacing w:before="240" w:after="240"/>
        <w:rPr>
          <w:lang w:val="el" w:eastAsia="el"/>
        </w:rPr>
      </w:pPr>
      <w:r>
        <w:rPr>
          <w:b/>
          <w:bCs/>
          <w:lang w:val="el" w:eastAsia="el"/>
        </w:rPr>
        <w:t>ΒΕΒΑΙΩΣΗ</w:t>
      </w:r>
    </w:p>
    <w:p>
      <w:pPr>
        <w:spacing w:before="240" w:after="240"/>
        <w:rPr>
          <w:lang w:val="el" w:eastAsia="el"/>
        </w:rPr>
      </w:pPr>
      <w:r>
        <w:rPr>
          <w:b/>
          <w:bCs/>
          <w:lang w:val="el" w:eastAsia="el"/>
        </w:rPr>
        <w:t xml:space="preserve">Σύνολο ; </w:t>
      </w:r>
    </w:p>
    <w:p>
      <w:pPr>
        <w:spacing w:before="240" w:after="240"/>
        <w:rPr>
          <w:lang w:val="el" w:eastAsia="el"/>
        </w:rPr>
      </w:pPr>
      <w:r>
        <w:rPr>
          <w:b/>
          <w:bCs/>
          <w:lang w:val="el" w:eastAsia="el"/>
        </w:rPr>
        <w:t xml:space="preserve">ΖίΧ.Κ.ι </w:t>
      </w:r>
    </w:p>
    <w:p>
      <w:pPr>
        <w:spacing w:before="240" w:after="240"/>
        <w:rPr>
          <w:lang w:val="el" w:eastAsia="el"/>
        </w:rPr>
      </w:pPr>
      <w:r>
        <w:rPr>
          <w:b/>
          <w:bCs/>
          <w:lang w:val="el" w:eastAsia="el"/>
        </w:rPr>
        <w:t>Ο Ενεργήοας τη βεβαίωση</w:t>
      </w:r>
    </w:p>
    <w:p>
      <w:pPr>
        <w:spacing w:before="240" w:after="240"/>
        <w:rPr>
          <w:lang w:val="el" w:eastAsia="el"/>
        </w:rPr>
      </w:pPr>
      <w:r>
        <w:rPr>
          <w:b/>
          <w:bCs/>
          <w:lang w:val="el" w:eastAsia="el"/>
        </w:rPr>
        <w:t>ΕΚΠΤΩΣΕΙΣ</w:t>
      </w:r>
    </w:p>
    <w:p>
      <w:pPr>
        <w:spacing w:before="240" w:after="240"/>
        <w:rPr>
          <w:lang w:val="el" w:eastAsia="el"/>
        </w:rPr>
      </w:pPr>
      <w:r>
        <w:rPr>
          <w:b/>
          <w:bCs/>
          <w:lang w:val="el" w:eastAsia="el"/>
        </w:rPr>
        <w:t>Ένιν£ έκπτωση για ποσό</w:t>
      </w:r>
    </w:p>
    <w:p>
      <w:pPr>
        <w:spacing w:before="240" w:after="240"/>
        <w:rPr>
          <w:lang w:val="el" w:eastAsia="el"/>
        </w:rPr>
      </w:pPr>
      <w:r>
        <w:rPr>
          <w:b/>
          <w:bCs/>
          <w:lang w:val="el" w:eastAsia="el"/>
        </w:rPr>
        <w:t xml:space="preserve">Ευρώ </w:t>
      </w:r>
    </w:p>
    <w:p>
      <w:pPr>
        <w:spacing w:before="240" w:after="240"/>
        <w:rPr>
          <w:lang w:val="el" w:eastAsia="el"/>
        </w:rPr>
      </w:pPr>
      <w:r>
        <w:rPr>
          <w:b/>
          <w:bCs/>
          <w:lang w:val="el" w:eastAsia="el"/>
        </w:rPr>
        <w:t>Αρ. Τ.Α.Φ.Ε</w:t>
      </w:r>
    </w:p>
    <w:p>
      <w:pPr>
        <w:spacing w:before="240" w:after="240"/>
        <w:rPr>
          <w:lang w:val="el" w:eastAsia="el"/>
        </w:rPr>
      </w:pPr>
      <w:r>
        <w:rPr>
          <w:b/>
          <w:bCs/>
          <w:lang w:val="el" w:eastAsia="el"/>
        </w:rPr>
        <w:t>2012 0 εν^ργήσας την έκπτωση</w:t>
      </w:r>
    </w:p>
    <w:p>
      <w:pPr>
        <w:spacing w:before="240" w:after="240"/>
        <w:rPr>
          <w:lang w:val="el" w:eastAsia="el"/>
        </w:rPr>
      </w:pPr>
      <w:r>
        <w:rPr>
          <w:b/>
          <w:bCs/>
          <w:lang w:val="el" w:eastAsia="el"/>
        </w:rPr>
        <w:t>ΠΙΝΑΚΑΣ ΦΟΡΟΛ</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
        <w:gridCol w:w="517"/>
        <w:gridCol w:w="385"/>
        <w:gridCol w:w="1155"/>
        <w:gridCol w:w="1712"/>
        <w:gridCol w:w="1813"/>
        <w:gridCol w:w="1480"/>
        <w:gridCol w:w="447"/>
        <w:gridCol w:w="421"/>
        <w:gridCol w:w="10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Ι UJ Ζ Μ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ή 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ΔΗΜΟΤΙΚΟ ή ΚΟΙΝΟΤΙΚΟ ΔΙΑΜΕΡΙΣΜΑ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 &amp; ΑΡΙΘΜΟΣ ή ΟΙΚΙΣΜΟΣ ή 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 X Ζ 1 ο Χ Ι-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ΕΠίΦ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ΑΠΑΛΛΑ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9"/>
        <w:gridCol w:w="624"/>
        <w:gridCol w:w="415"/>
        <w:gridCol w:w="1138"/>
        <w:gridCol w:w="1688"/>
        <w:gridCol w:w="1787"/>
        <w:gridCol w:w="1459"/>
        <w:gridCol w:w="415"/>
        <w:gridCol w:w="423"/>
        <w:gridCol w:w="1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11* 4 Ζ Ν Ο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Ε £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ή 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ΔΗΜΟΤΙΚΟ ή ΚΟΙΝΟΤΙΚΟ ΔΙΑΜΕΡΙΣΜΑ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 Δ ΑΡΙΘΜΟΣ ή ΟΙΚΙΣΜΟΣ ή 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i ζ</w:t>
            </w:r>
          </w:p>
          <w:p>
            <w:pPr>
              <w:spacing w:before="240"/>
              <w:rPr>
                <w:b w:val="0"/>
                <w:bCs w:val="0"/>
                <w:i w:val="0"/>
                <w:iCs w:val="0"/>
                <w:smallCaps w:val="0"/>
                <w:color w:val="000000"/>
                <w:lang w:val="el" w:eastAsia="el"/>
              </w:rPr>
            </w:pPr>
            <w:r>
              <w:rPr>
                <w:b/>
                <w:bCs/>
                <w:i w:val="0"/>
                <w:iCs w:val="0"/>
                <w:smallCaps w:val="0"/>
                <w:color w:val="000000"/>
                <w:lang w:val="el" w:eastAsia="el"/>
              </w:rPr>
              <w:t>&lt;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Ο e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ΕΠΙΐ</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Η στήλη ΚΩΔΙΚΟΣ ΜΕΤΑΒΟΛΗΣ ουμπληΐχόνΕΤΟί μάνο στις ττερίτπώσεις συμττΛηρωμστικής ή ανύκλητικής βήΛΐι&gt;αης</w:t>
      </w:r>
    </w:p>
    <w:p>
      <w:pPr>
        <w:spacing w:before="240" w:after="240"/>
        <w:rPr>
          <w:lang w:val="el" w:eastAsia="el"/>
        </w:rPr>
      </w:pPr>
      <w:r>
        <w:rPr>
          <w:b/>
          <w:bCs/>
          <w:lang w:val="el" w:eastAsia="el"/>
        </w:rPr>
        <w:t>ΓΗΤΕΩΝ ΑΚΙΝΗΤΩΝ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
        <w:gridCol w:w="1047"/>
        <w:gridCol w:w="374"/>
        <w:gridCol w:w="343"/>
        <w:gridCol w:w="343"/>
        <w:gridCol w:w="343"/>
        <w:gridCol w:w="436"/>
        <w:gridCol w:w="1167"/>
        <w:gridCol w:w="1150"/>
        <w:gridCol w:w="1167"/>
        <w:gridCol w:w="1036"/>
        <w:gridCol w:w="1344"/>
        <w:gridCol w:w="34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ΖΕ Τ,Μ. ΤΩΝ ΦΟΡΟΛΟΓΗΤΕΩΝ ΑΚίΝΗΤΩΝ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Μ 5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5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hi Ο Ζ Μ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ω Μ μι ζ Ι_ W ο Η U</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ΦΟΡΟΛΟΓΗΤΕΑ ΑΗΙΑ ΑΚΙΝΗΤΗΣ ΠΕΡΙΟΥΣΙΑΣ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KTWIHZ ΤΟΥ ΑΚΙΝΗΤΟΥ ΑΠΟ ΤΟ ΝΟΜΙΚΟ ΠΡΟΣΩΠΟ Ή ΤΗ ΝΟΜΙΚΗ ΟΝΤΟΤΗΤΑ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ΑΡΜΟΔΪΑΔ.Ο.Υ.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αϊ 2 UI S Μ g 3 iC</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οω C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ΠΛΗΡΟΥΣ ΚΥΡΙΟΤΗΤΑΣ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ΕΠΙΚΑΡΠΙΑΣ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ΑΞ1Α ΨΙΛΗΣ ΚΥΡΙΟΤΗΤΑΣ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Βοηθητικοί Χώροι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ΜΕΤΑΦΟΡΑ /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ΟΜΕΝΩΝ ΑΚΙΝΗΤΩΝ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
        <w:gridCol w:w="1421"/>
        <w:gridCol w:w="605"/>
        <w:gridCol w:w="466"/>
        <w:gridCol w:w="466"/>
        <w:gridCol w:w="490"/>
        <w:gridCol w:w="591"/>
        <w:gridCol w:w="1319"/>
        <w:gridCol w:w="1407"/>
        <w:gridCol w:w="1350"/>
        <w:gridCol w:w="466"/>
        <w:gridCol w:w="46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ΣΕ T.M. ΑΠΑΛΛΑΣΣΟΜΕΝΩΝ ΑΚΙΝΗΤΩΝ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Ζ UJ Ζ </w:t>
            </w:r>
            <w:r>
              <w:rPr>
                <w:b w:val="0"/>
                <w:bCs w:val="0"/>
                <w:i w:val="0"/>
                <w:iCs w:val="0"/>
                <w:smallCaps w:val="0"/>
                <w:color w:val="000000"/>
                <w:lang w:val="el" w:eastAsia="el"/>
              </w:rPr>
              <w:t xml:space="preserve">5 5 </w:t>
            </w: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ι 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 Ο &lt;1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Ι C UJ Ν Χ Χ ζ ζ ιυ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AKINHT0Y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ΚΤΗΣΗΣ ΤΟΥ ΑΚΙΝΗΤΟΥ ΑΠΟ ΤΟ ΝΟΜΙΚΟ ΠΡΟΣΩΠΟ Ή ΤΗ ΝΟΜΙΚΗ ΟΝΤΟΤΗΤΑ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Δ.0Ύ.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χ ζ £ Χ Ι ε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Χ Ο g υ Ε 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 δ Ιο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Βοηθητικοί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ΜΕΤΑΦΟΡΑ /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Δ1ΚΑΙ0Λ0ΓΗΤίΚΑ ΠΟΥ ΣΥΝΥΠΟΒΑΛΛΟΝΤΑΙ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7"/>
        <w:gridCol w:w="4425"/>
        <w:gridCol w:w="36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της στήλης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Παραστατικά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4</w:t>
            </w:r>
          </w:p>
          <w:p>
            <w:pPr>
              <w:spacing w:before="240" w:after="240"/>
              <w:rPr>
                <w:b w:val="0"/>
                <w:bCs w:val="0"/>
                <w:i w:val="0"/>
                <w:iCs w:val="0"/>
                <w:smallCaps w:val="0"/>
                <w:color w:val="000000"/>
                <w:lang w:val="el" w:eastAsia="el"/>
              </w:rPr>
            </w:pPr>
            <w:r>
              <w:rPr>
                <w:b/>
                <w:bCs/>
                <w:i w:val="0"/>
                <w:iCs w:val="0"/>
                <w:smallCaps w:val="0"/>
                <w:color w:val="000000"/>
                <w:lang w:val="el" w:eastAsia="el"/>
              </w:rPr>
              <w:t>5</w:t>
            </w:r>
          </w:p>
          <w:p>
            <w:pPr>
              <w:spacing w:before="240" w:after="240"/>
              <w:rPr>
                <w:b w:val="0"/>
                <w:bCs w:val="0"/>
                <w:i w:val="0"/>
                <w:iCs w:val="0"/>
                <w:smallCaps w:val="0"/>
                <w:color w:val="000000"/>
                <w:lang w:val="el" w:eastAsia="el"/>
              </w:rPr>
            </w:pPr>
            <w:r>
              <w:rPr>
                <w:b/>
                <w:bCs/>
                <w:i w:val="0"/>
                <w:iCs w:val="0"/>
                <w:smallCaps w:val="0"/>
                <w:color w:val="000000"/>
                <w:lang w:val="el" w:eastAsia="el"/>
              </w:rPr>
              <w:t>6</w:t>
            </w:r>
          </w:p>
          <w:p>
            <w:pPr>
              <w:spacing w:before="240" w:after="240"/>
              <w:rPr>
                <w:b w:val="0"/>
                <w:bCs w:val="0"/>
                <w:i w:val="0"/>
                <w:iCs w:val="0"/>
                <w:smallCaps w:val="0"/>
                <w:color w:val="000000"/>
                <w:lang w:val="el" w:eastAsia="el"/>
              </w:rPr>
            </w:pPr>
            <w:r>
              <w:rPr>
                <w:b/>
                <w:bCs/>
                <w:i w:val="0"/>
                <w:iCs w:val="0"/>
                <w:smallCaps w:val="0"/>
                <w:color w:val="000000"/>
                <w:lang w:val="el" w:eastAsia="el"/>
              </w:rPr>
              <w:t>7</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after="240"/>
              <w:rPr>
                <w:b w:val="0"/>
                <w:bCs w:val="0"/>
                <w:i w:val="0"/>
                <w:iCs w:val="0"/>
                <w:smallCaps w:val="0"/>
                <w:color w:val="000000"/>
                <w:lang w:val="el" w:eastAsia="el"/>
              </w:rPr>
            </w:pPr>
            <w:r>
              <w:rPr>
                <w:b/>
                <w:bCs/>
                <w:i w:val="0"/>
                <w:iCs w:val="0"/>
                <w:smallCaps w:val="0"/>
                <w:color w:val="000000"/>
                <w:lang w:val="el" w:eastAsia="el"/>
              </w:rPr>
              <w:t>9</w:t>
            </w:r>
          </w:p>
          <w:p>
            <w:pPr>
              <w:spacing w:before="240"/>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περισσότερων δικαιολογητικών συνεχίστε την αρίθμηση σε συνημμένη κατάσταση</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Απριλίου 2012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ΣίίμπΑΓίρώνετοι από την σπηρεσίσ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