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Δ12Α 1084664 ΕΞ 2012</w:t>
      </w:r>
    </w:p>
    <w:p>
      <w:pPr>
        <w:spacing w:before="240" w:after="240"/>
        <w:rPr>
          <w:lang w:val="el" w:eastAsia="el"/>
        </w:rPr>
      </w:pPr>
      <w:r>
        <w:rPr>
          <w:lang w:val="el" w:eastAsia="el"/>
        </w:rPr>
        <w:t>Παράταση της προθεσμίας υποβολής των προσωρινών δηλώσεων απόδοσης Φόρου Μισθωτών Υπηρεσιών, αμοιβών από ελευθέρια επαγγέλματα, εισοδημάτων από εμπορικές επιχειρήσεις, οριστικής δήλωσης ΦΜΥ, περιοδικών δηλώσεων ΦΠΑ, ανακεφαλαιωτικών πινάκων, τελών χαρτοσήμου, κ.λπ. από τον καταργηθέντα Ο.Δ.Δ.Υ. Α.Ε.</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 (ΦΕΚ 213 Α’) περί ανασύστασης του Υπουργείου Οικονομικών.</w:t>
      </w:r>
    </w:p>
    <w:p>
      <w:pPr>
        <w:spacing w:before="240" w:after="240"/>
        <w:rPr>
          <w:lang w:val="el" w:eastAsia="el"/>
        </w:rPr>
      </w:pPr>
      <w:r>
        <w:rPr>
          <w:lang w:val="el" w:eastAsia="el"/>
        </w:rPr>
        <w:t>2. Τις διατάξεις των παραγράφων 1, 2 και 3 του άρθρου 59 και των παραγράφων 1, 2 και 3 του άρθρου 60 ν. 2238/1994 (ΦΕΚ 151Α’).</w:t>
      </w:r>
    </w:p>
    <w:p>
      <w:pPr>
        <w:spacing w:before="240" w:after="240"/>
        <w:rPr>
          <w:lang w:val="el" w:eastAsia="el"/>
        </w:rPr>
      </w:pPr>
      <w:r>
        <w:rPr>
          <w:lang w:val="el" w:eastAsia="el"/>
        </w:rPr>
        <w:t>3. Την ΠΟΛ.1033/18.2.2011 ΑΔΑ 4ΑΙΗΗ - ΑΟ / Α.Υ.Ο. περί υποβολής των προσωρινών δηλώσεων απόδοσης φόρου μισθωτών υπηρεσιών.</w:t>
      </w:r>
    </w:p>
    <w:p>
      <w:pPr>
        <w:spacing w:before="240" w:after="240"/>
        <w:rPr>
          <w:lang w:val="el" w:eastAsia="el"/>
        </w:rPr>
      </w:pPr>
      <w:r>
        <w:rPr>
          <w:lang w:val="el" w:eastAsia="el"/>
        </w:rPr>
        <w:t>4. Την ΠΟΛ.1157/21.7.2011 ΑΔΑ 4ΑΧ8Η-36Ν / Α.Υ.Ο. περί υποβολής των προσωρινών δηλώσεων απόδοσης φόρου από εμπορικές επιχειρήσεις και από ελευθέρια επαγγέλματα.</w:t>
      </w:r>
    </w:p>
    <w:p>
      <w:pPr>
        <w:spacing w:before="240" w:after="240"/>
        <w:rPr>
          <w:lang w:val="el" w:eastAsia="el"/>
        </w:rPr>
      </w:pPr>
      <w:r>
        <w:rPr>
          <w:lang w:val="el" w:eastAsia="el"/>
        </w:rPr>
        <w:t>5. Τις διατάξεις του άρθρου 12 του Ν. 2362/1995 (ΦΕΚ 247 Α’/27.11.1995) και του Π.Δ. 16/1989 (ΦΕΚ 6 Α’/5.1.1989), περί αποδεικτικών εισπράξεως.</w:t>
      </w:r>
    </w:p>
    <w:p>
      <w:pPr>
        <w:spacing w:before="240" w:after="240"/>
        <w:rPr>
          <w:lang w:val="el" w:eastAsia="el"/>
        </w:rPr>
      </w:pPr>
      <w:r>
        <w:rPr>
          <w:lang w:val="el" w:eastAsia="el"/>
        </w:rPr>
        <w:t>6. Τις παρακάτω διατάξεις του Κώδικα Φόρου Προστιθέμενης Αξίας (κύρωση με το ν. 2859/2000 - ΦΕΚ 248 Α’),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των περιπτώσεων α’, β’ και δ’ της παραγράφου 5, της παραγράφου 5α’, της παραγράφου 5β’, των περιπτώσεων α’ και γ’ της παραγράφου 9 του άρθρου 36,</w:t>
      </w:r>
    </w:p>
    <w:p>
      <w:pPr>
        <w:pStyle w:val="StructureList1"/>
        <w:spacing w:before="120" w:after="0"/>
        <w:rPr>
          <w:lang w:val="el" w:eastAsia="el"/>
        </w:rPr>
      </w:pPr>
      <w:r>
        <w:rPr>
          <w:lang w:val="el" w:eastAsia="el"/>
        </w:rPr>
        <w:t>β)</w:t>
      </w:r>
      <w:r>
        <w:rPr>
          <w:lang w:val="en" w:eastAsia="en"/>
        </w:rPr>
        <w:tab/>
      </w:r>
      <w:r>
        <w:rPr>
          <w:lang w:val="el" w:eastAsia="el"/>
        </w:rPr>
        <w:t>της περίπτωσης α’ της παραγράφου 1 και της παραγράφου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spacing w:before="240" w:after="240"/>
        <w:rPr>
          <w:lang w:val="el" w:eastAsia="el"/>
        </w:rPr>
      </w:pPr>
      <w:r>
        <w:rPr>
          <w:lang w:val="el" w:eastAsia="el"/>
        </w:rPr>
        <w:t>7. Τις διατάξεις της ΑΥΟ ΠΟΛ.1267/30.12.2011 (ΦΕΚ 44Β’/23.1.2012) «Χρόνος και τρόπος υποβολής της περιοδικής δήλωσης ΦΠΑ» και της ΑΥΟ ΠΟΛ. 1060 /2006 (ΦΕΚ 568 Β’/8.5.2006).</w:t>
      </w:r>
    </w:p>
    <w:p>
      <w:pPr>
        <w:spacing w:before="240" w:after="240"/>
        <w:rPr>
          <w:lang w:val="el" w:eastAsia="el"/>
        </w:rPr>
      </w:pPr>
      <w:r>
        <w:rPr>
          <w:lang w:val="el" w:eastAsia="el"/>
        </w:rPr>
        <w:t>8. Τις διατάξεις της ΑΥΟ 191535/7452/1652/Δ0014/ ΠΟΛ.1127/25.9.2009 (ΦΕΚ 2180 Β’) για το χρόνο υποβολής των ανακεφαλαιωτικών πινάκων.</w:t>
      </w:r>
    </w:p>
    <w:p>
      <w:pPr>
        <w:spacing w:before="240" w:after="240"/>
        <w:rPr>
          <w:lang w:val="el" w:eastAsia="el"/>
        </w:rPr>
      </w:pPr>
      <w:r>
        <w:rPr>
          <w:lang w:val="el" w:eastAsia="el"/>
        </w:rPr>
        <w:t>9. Τις διατάξεις του Κανονισμού 2010/904/ΕΚ/7.10.2010/ EE L 268/12.10.2010 για τη διοικητική συνεργασία στον τομέα του φόρου προστιθέμενης αξίας, όπως ισχύουν.</w:t>
      </w:r>
    </w:p>
    <w:p>
      <w:pPr>
        <w:spacing w:before="240" w:after="240"/>
        <w:rPr>
          <w:lang w:val="el" w:eastAsia="el"/>
        </w:rPr>
      </w:pPr>
      <w:r>
        <w:rPr>
          <w:lang w:val="el" w:eastAsia="el"/>
        </w:rPr>
        <w:t>10. Τις διατάξεις του π.δ. της 28</w:t>
      </w:r>
      <w:r>
        <w:rPr>
          <w:sz w:val="30"/>
          <w:szCs w:val="30"/>
          <w:vertAlign w:val="superscript"/>
          <w:lang w:val="el" w:eastAsia="el"/>
        </w:rPr>
        <w:t>ης</w:t>
      </w:r>
      <w:r>
        <w:rPr>
          <w:lang w:val="el" w:eastAsia="el"/>
        </w:rPr>
        <w:t xml:space="preserve"> Ιουλίου 1931 (ΦΕΚ 239 Α’) “Περί κώδικος των νόμων περί τελών χαρτοσήμου”, όπως ισχύει.</w:t>
      </w:r>
    </w:p>
    <w:p>
      <w:pPr>
        <w:spacing w:before="240" w:after="240"/>
        <w:rPr>
          <w:lang w:val="el" w:eastAsia="el"/>
        </w:rPr>
      </w:pPr>
      <w:r>
        <w:rPr>
          <w:lang w:val="el" w:eastAsia="el"/>
        </w:rPr>
        <w:t>11. Τις διατάξεις της παραγράφου 6 του άρθρου 20 του ν. 3943/2011 (ΦΕΚ 66 Α’).</w:t>
      </w:r>
    </w:p>
    <w:p>
      <w:pPr>
        <w:spacing w:before="240" w:after="240"/>
        <w:rPr>
          <w:lang w:val="el" w:eastAsia="el"/>
        </w:rPr>
      </w:pPr>
      <w:r>
        <w:rPr>
          <w:lang w:val="el" w:eastAsia="el"/>
        </w:rPr>
        <w:t>12. Τις διατάξεις της παραγράφου 5 του άρθρου 22 του ν. 2020/1992 (Φ.Ε.Κ. 34 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διατάξεις για υποβολή φορολογικών δηλώσεων, σε εξαιρετικές περιπτώσεις.</w:t>
      </w:r>
    </w:p>
    <w:p>
      <w:pPr>
        <w:spacing w:before="240" w:after="240"/>
        <w:rPr>
          <w:lang w:val="el" w:eastAsia="el"/>
        </w:rPr>
      </w:pPr>
      <w:r>
        <w:rPr>
          <w:lang w:val="el" w:eastAsia="el"/>
        </w:rPr>
        <w:t>13. Με αφορμή το με αρ. πρωτ. Δ3Β 5021335 ΕΞ 2012/15.5.2012 έγγραφο της Γενικής Δ/νσης Τελωνείων και Ε.Φ.Κ. για παράταση εξόφλησης των υποχρεώσεων του καταργηθέντος Ο.Δ.Δ.Υ. Α.Ε. προς το δημόσιο, λόγω της επικείμενης εκταμίευσης χρηματικού ποσού από λογαριασμούς που τηρούσε στην Τράπεζα της Ελλάδος.</w:t>
      </w:r>
    </w:p>
    <w:p>
      <w:pPr>
        <w:spacing w:before="240" w:after="240"/>
        <w:rPr>
          <w:lang w:val="el" w:eastAsia="el"/>
        </w:rPr>
      </w:pPr>
      <w:r>
        <w:rPr>
          <w:lang w:val="el" w:eastAsia="el"/>
        </w:rPr>
        <w:t>14. Ότι από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Παρατείνουμε την προθεσμία υποβολής των προσωρινών δηλώσεων απόδοσης Φόρου Μισθωτών Υπηρεσιών, αμοιβών από ελευθέρια επαγγέλματα, εισοδημάτων από εμπορικές επιχειρήσεις, οριστικής δήλωσης ΦΜΥ, περιοδικών δηλώσεων ΦΠΑ, ανακεφαλαιωτικών πινάκων, τελών χαρτοσήμου, καθώς και παντός φόρου, τέλους, κ.λπ., από τον καταργηθέντα Ο.Δ.Δ.Υ. Α.Ε., του οποίου οι αρμοδιότητες έχουν μεταφερθεί και ασκούνται από το Ελληνικό Δημόσιο (Δ/νση Τελωνειακών Διαδικασιών) μέχρι και την 30</w:t>
      </w:r>
      <w:r>
        <w:rPr>
          <w:sz w:val="30"/>
          <w:szCs w:val="30"/>
          <w:vertAlign w:val="superscript"/>
          <w:lang w:val="el" w:eastAsia="el"/>
        </w:rPr>
        <w:t>η</w:t>
      </w:r>
      <w:r>
        <w:rPr>
          <w:lang w:val="el" w:eastAsia="el"/>
        </w:rPr>
        <w:t xml:space="preserve"> Ιουνίου 2012. Οι δηλώσεις και οι πίνακες υποβάλλονται σε έντυπη μορφή στην αρμόδια Δ.Ο.Υ.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Μαΐου 2012</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ΖΑΝΙΑΣ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