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ΠΟΛ.1140</w:t>
      </w:r>
    </w:p>
    <w:p>
      <w:pPr>
        <w:pStyle w:val="PreambelText"/>
        <w:spacing w:before="240" w:after="240"/>
        <w:rPr>
          <w:lang w:val="el" w:eastAsia="el"/>
        </w:rPr>
      </w:pPr>
      <w:r>
        <w:rPr>
          <w:lang w:val="el" w:eastAsia="el"/>
        </w:rPr>
        <w:t>Καθορισμός λεπτομερειών για τη λειτουργία της Επιτροπής Διοικητικής Επίλυσης Φορολογικών Διαφορών (Ε.Δ.Ε.Φ.Δ.) και τον τρόπο έκδοσης των αποφάσεων αυτής, ως προς την εξέταση της ενδικοφανούς προσφυγής της παραγράφου 4 του άρθρου 70 Α του ν. 2238/1994 (Α’ 151).</w:t>
      </w:r>
    </w:p>
    <w:p>
      <w:pPr>
        <w:pStyle w:val="enacting"/>
        <w:spacing w:before="120" w:after="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w:t>
      </w:r>
    </w:p>
    <w:p>
      <w:pPr>
        <w:pStyle w:val="StructureList1"/>
        <w:spacing w:before="120" w:after="0"/>
        <w:rPr>
          <w:lang w:val="el" w:eastAsia="el"/>
        </w:rPr>
      </w:pPr>
      <w:r>
        <w:rPr>
          <w:lang w:val="el" w:eastAsia="el"/>
        </w:rPr>
        <w:t>α)</w:t>
      </w:r>
      <w:r>
        <w:rPr>
          <w:lang w:val="en" w:eastAsia="en"/>
        </w:rPr>
        <w:tab/>
      </w:r>
      <w:r>
        <w:rPr>
          <w:lang w:val="el" w:eastAsia="el"/>
        </w:rPr>
        <w:t>Του άρθρου 70Α του ν. 2238/1994 (Α’ 151) «Κύρωση Κώδικα Φορολογίας Εισοδήματος», όπως ισχύουν.</w:t>
      </w:r>
    </w:p>
    <w:p>
      <w:pPr>
        <w:pStyle w:val="StructureList1"/>
        <w:spacing w:before="120" w:after="0"/>
        <w:rPr>
          <w:lang w:val="el" w:eastAsia="el"/>
        </w:rPr>
      </w:pPr>
      <w:r>
        <w:rPr>
          <w:lang w:val="el" w:eastAsia="el"/>
        </w:rPr>
        <w:t>β)</w:t>
      </w:r>
      <w:r>
        <w:rPr>
          <w:lang w:val="en" w:eastAsia="en"/>
        </w:rPr>
        <w:tab/>
      </w:r>
      <w:r>
        <w:rPr>
          <w:lang w:val="el" w:eastAsia="el"/>
        </w:rPr>
        <w:t>Της παρ. 2 του άρθρου 24 του ν. 2523/1997 (Α’ 179) «Διοικητικές και ποινικές κυρώσεις στη φορολογική νομοθεσία και άλλες διατάξεις», όπως ισχύουν.</w:t>
      </w:r>
    </w:p>
    <w:p>
      <w:pPr>
        <w:pStyle w:val="StructureList1"/>
        <w:spacing w:before="120" w:after="0"/>
        <w:rPr>
          <w:lang w:val="el" w:eastAsia="el"/>
        </w:rPr>
      </w:pPr>
      <w:r>
        <w:rPr>
          <w:lang w:val="el" w:eastAsia="el"/>
        </w:rPr>
        <w:t>γ)</w:t>
      </w:r>
      <w:r>
        <w:rPr>
          <w:lang w:val="en" w:eastAsia="en"/>
        </w:rPr>
        <w:tab/>
      </w:r>
      <w:r>
        <w:rPr>
          <w:lang w:val="el" w:eastAsia="el"/>
        </w:rPr>
        <w:t xml:space="preserve">Των παρ. 1-3 και 5 του άρθρου 55 του ν. 4002/2011 (Α’ 180) «Τροποποίηση της συνταξιοδοτικής νομοθεσίας του Δημοσίου - Ρυθμίσεις για την ανάπτυξη και τη δημοσιονομική εξυγίανση - Θέματα αρμοδιότητας </w:t>
      </w:r>
    </w:p>
    <w:p>
      <w:pPr>
        <w:pStyle w:val="PreambelText"/>
        <w:spacing w:before="240" w:after="240"/>
        <w:rPr>
          <w:lang w:val="el" w:eastAsia="el"/>
        </w:rPr>
      </w:pPr>
      <w:r>
        <w:rPr>
          <w:lang w:val="el" w:eastAsia="el"/>
        </w:rPr>
        <w:t>Υπουργείων Οικονομικών, Πολιτισμού και Τουρισμού και Εργασίας και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ε)</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 και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ν. 2717/1999 (Α’ 97) «Κώδικας Διοικητικής Δικονομίας», του άρθρου 19 του ν. 1599/1986 (Α’ 75) «Σχέσεις Κράτους - Πολίτη, καθιέρωση νέου τύπου δελτίου ταυτότητας και άλλες διατάξεις», όπως ισχύουν και του ν. 2690/1999 (Α’ 45) «Κύρωση του Κώδικα Διοικητικής Διαδικασίας και άλλες διατάξεις».</w:t>
      </w:r>
    </w:p>
    <w:p>
      <w:pPr>
        <w:pStyle w:val="PreambelText"/>
        <w:spacing w:before="240" w:after="240"/>
        <w:rPr>
          <w:lang w:val="el" w:eastAsia="el"/>
        </w:rPr>
      </w:pPr>
      <w:r>
        <w:rPr>
          <w:lang w:val="el" w:eastAsia="el"/>
        </w:rPr>
        <w:t>2. Το π.δ. 71/2012 (Α’ 124) για το διορισμό του Γεωργίου Ζανιά στη θέση του Υπουργού Οικονομικών.</w:t>
      </w:r>
    </w:p>
    <w:p>
      <w:pPr>
        <w:pStyle w:val="PreambelText"/>
        <w:spacing w:before="240" w:after="240"/>
        <w:rPr>
          <w:lang w:val="el" w:eastAsia="el"/>
        </w:rPr>
      </w:pPr>
      <w:r>
        <w:rPr>
          <w:lang w:val="el" w:eastAsia="el"/>
        </w:rPr>
        <w:t>3. Την Α.Υ.Ο./ΠΟΛ.1238/22.11.2011 (Β’ 2777) «Οργάνωση, λειτουργία και καθορισμός ημερομηνίας έναρξης υποβολής αιτήσεων διοικητικής επίλυσης φορολογικών διαφορών ενώπιον της Επιτροπής Διοικητικής Επίλυσης Φορολογικών Διαφορών (Ε.Δ.Ε.Φ.Δ.) του άρθρου 70Α του ν. 2238/1994 (Α’ 151)».</w:t>
      </w:r>
    </w:p>
    <w:p>
      <w:pPr>
        <w:pStyle w:val="PreambelText"/>
        <w:spacing w:before="240" w:after="240"/>
        <w:rPr>
          <w:lang w:val="el" w:eastAsia="el"/>
        </w:rPr>
      </w:pPr>
      <w:r>
        <w:rPr>
          <w:lang w:val="el" w:eastAsia="el"/>
        </w:rPr>
        <w:t>4. Την ανάγκη καθορισμού λεπτομερειών για τη λειτουργία της Επιτροπής και τον τρόπο έκδοσης των αποφάσεων αυτής ως προς την εξέταση της ενδικοφανούς προσφυγής της παραγράφου 4 του άρθρου 70Α του ν. 2238/1994 (Α’ 151).</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Αιτήσεις διοικητικής επίλυσης της διαφοράςπου έχουν το χαρακτήρα ενδικοφανούς προσφυγής</w:t>
      </w:r>
    </w:p>
    <w:p>
      <w:pPr>
        <w:pStyle w:val="MainText"/>
        <w:spacing w:before="120" w:after="0"/>
        <w:rPr>
          <w:lang w:val="el" w:eastAsia="el"/>
        </w:rPr>
      </w:pPr>
      <w:r>
        <w:rPr>
          <w:b/>
          <w:bCs/>
          <w:lang w:val="el" w:eastAsia="el"/>
        </w:rPr>
        <w:t>1.</w:t>
      </w:r>
      <w:r>
        <w:rPr>
          <w:lang w:val="el" w:eastAsia="el"/>
        </w:rPr>
        <w:t xml:space="preserve"> Στην απόφαση αυτή υπάγονται οι αιτήσεις διοικητικής επίλυσης της μετά από έλεγχο φορολογικής διαφοράς σε κάθε φορολογικό αντικείμενο, που κατατίθενται στην αρμόδια φορολογική αρχή από την 29.2.2012 και μετά, εφόσον η αμφισβητούμενη διαφορά του κύριου φόρου, τέλους, εισφοράς ή προστίμου υπερβαίνει το ποσό των τριακοσίων χιλιάδων (300.000) ευρώ. Σε περίπτωση καταλογιστικής πράξης με την οποία καταλογίζονται διακεκριμένως περισσότερα ποσά, η αίτηση διοικητικής επίλυσης έχει το χαρακτήρα ενδικοφανούς προσφυγής αποκλειστικά και μόνο για τα αμφισβητούμενα ποσά που υπερβαίνουν το παραπάνω όριο.</w:t>
      </w:r>
    </w:p>
    <w:p>
      <w:pPr>
        <w:pStyle w:val="MainText"/>
        <w:spacing w:before="120" w:after="0"/>
        <w:rPr>
          <w:lang w:val="el" w:eastAsia="el"/>
        </w:rPr>
      </w:pPr>
      <w:r>
        <w:rPr>
          <w:b/>
          <w:bCs/>
          <w:lang w:val="el" w:eastAsia="el"/>
        </w:rPr>
        <w:t>2.</w:t>
      </w:r>
      <w:r>
        <w:rPr>
          <w:lang w:val="el" w:eastAsia="el"/>
        </w:rPr>
        <w:t xml:space="preserve"> Οι ως άνω αιτήσεις διοικητικής επίλυσης της διαφοράς, οι οποίες έχουν το χαρακτήρα ενδικοφανούς προσφυγής, εξετάζονται από την Επιτροπή του άρθρου 70Α του ν. 2238/1994.</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για την εξέταση</w:t>
      </w:r>
    </w:p>
    <w:p>
      <w:pPr>
        <w:spacing w:before="240" w:after="240"/>
        <w:rPr>
          <w:lang w:val="el" w:eastAsia="el"/>
        </w:rPr>
      </w:pPr>
      <w:r>
        <w:rPr>
          <w:lang w:val="el" w:eastAsia="el"/>
        </w:rPr>
        <w:t>της ενδικοφανούς προσφυγής από την Επιτροπή</w:t>
      </w:r>
    </w:p>
    <w:p>
      <w:pPr>
        <w:pStyle w:val="MainText"/>
        <w:spacing w:before="120" w:after="0"/>
        <w:rPr>
          <w:lang w:val="el" w:eastAsia="el"/>
        </w:rPr>
      </w:pPr>
      <w:r>
        <w:rPr>
          <w:b/>
          <w:bCs/>
          <w:lang w:val="el" w:eastAsia="el"/>
        </w:rPr>
        <w:t>1.</w:t>
      </w:r>
      <w:r>
        <w:rPr>
          <w:lang w:val="el" w:eastAsia="el"/>
        </w:rPr>
        <w:t xml:space="preserve"> Η αίτηση για τη διοικητική επίλυση κατατίθεται στην αρμόδια φορολογική αρχή μέσα σε εξήντα (60) ημέρες από την κοινοποίηση της οικείας καταλογιστικής πράξης και διαβιβάζεται στην Επιτροπή με έγγραφο της αρμόδιας φορολογικής αρχής εντός δέκα (10) ημερών από την κατάθεσή της, μαζί με το σχετικό φάκελο της υπόθεσης. Το έγγραφο περιέχει πλήρες ιστορικό της υπόθεσης και αιτιολογημένες απόψεις της φορολογικής αρχής επί των ισχυρισμών του υπόχρεου. Το έγγραφο αυτό σε περίπτωση ελλείψεων ως προς το εν λόγω περιεχόμενο επιστρέφεται άμεσα στη φορολογική αρχή για συμπλήρωση κατά προτεραιότητα.</w:t>
      </w:r>
    </w:p>
    <w:p>
      <w:pPr>
        <w:pStyle w:val="MainText"/>
        <w:spacing w:before="120" w:after="0"/>
        <w:rPr>
          <w:lang w:val="el" w:eastAsia="el"/>
        </w:rPr>
      </w:pPr>
      <w:r>
        <w:rPr>
          <w:b/>
          <w:bCs/>
          <w:lang w:val="el" w:eastAsia="el"/>
        </w:rPr>
        <w:t>2.</w:t>
      </w:r>
      <w:r>
        <w:rPr>
          <w:lang w:val="el" w:eastAsia="el"/>
        </w:rPr>
        <w:t xml:space="preserve"> Με πράξη του Προέδρου της Επιτροπής καθορίζεται, κατά προτεραιότητα, η ημερομηνία προς συζήτηση της αίτησης, ύστερα από την περιέλευσή της σε αυτήν. Με την πράξη αυτή μπορεί να ορίζεται η ίδια ημερομηνία συζήτησης και για τυχόν άλλες αιτήσεις του υπόχρεου για διοικητική επίλυση διαφορών επί των καταλογιστικών πράξεων που αφορούν τον ίδιο φορολογικό έλεγχο.</w:t>
      </w:r>
    </w:p>
    <w:p>
      <w:pPr>
        <w:pStyle w:val="MainText"/>
        <w:spacing w:before="120" w:after="0"/>
        <w:rPr>
          <w:lang w:val="el" w:eastAsia="el"/>
        </w:rPr>
      </w:pPr>
      <w:r>
        <w:rPr>
          <w:b/>
          <w:bCs/>
          <w:lang w:val="el" w:eastAsia="el"/>
        </w:rPr>
        <w:t>3.</w:t>
      </w:r>
      <w:r>
        <w:rPr>
          <w:lang w:val="el" w:eastAsia="el"/>
        </w:rPr>
        <w:t xml:space="preserve"> Αν συντρέχει αποχρών λόγος, η συζήτηση της αίτησης δύναται να αναβληθεί αυτεπαγγέλτως ή ύστερα από αίτηση του υπόχρεου.</w:t>
      </w:r>
    </w:p>
    <w:p>
      <w:pPr>
        <w:pStyle w:val="MainText"/>
        <w:spacing w:before="120" w:after="0"/>
        <w:rPr>
          <w:lang w:val="el" w:eastAsia="el"/>
        </w:rPr>
      </w:pPr>
      <w:r>
        <w:rPr>
          <w:b/>
          <w:bCs/>
          <w:lang w:val="el" w:eastAsia="el"/>
        </w:rPr>
        <w:t>4.</w:t>
      </w:r>
      <w:r>
        <w:rPr>
          <w:lang w:val="el" w:eastAsia="el"/>
        </w:rPr>
        <w:t xml:space="preserve"> Αν ο υπόχρεος δεν παραστεί κατά τη συζήτηση, ματαιώνεται η εξώδικη επίλυση της διαφοράς και η αίτησή του απορρίπτεται με σχετική απόφαση της Επιτροπής που επιδίδεται σε αυτόν μέσω της αρμόδιας φορολογικής αρχής.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Λειτουργία της Επιτροπήςκατά την εξέταση της ενδικοφανούς προσφυγής</w:t>
      </w:r>
    </w:p>
    <w:p>
      <w:pPr>
        <w:pStyle w:val="MainText"/>
        <w:spacing w:before="120" w:after="0"/>
        <w:rPr>
          <w:lang w:val="el" w:eastAsia="el"/>
        </w:rPr>
      </w:pPr>
      <w:r>
        <w:rPr>
          <w:b/>
          <w:bCs/>
          <w:lang w:val="el" w:eastAsia="el"/>
        </w:rPr>
        <w:t>1.</w:t>
      </w:r>
      <w:r>
        <w:rPr>
          <w:lang w:val="el" w:eastAsia="el"/>
        </w:rPr>
        <w:t xml:space="preserve"> Με πράξη του Προϊσταμένου της Γενικής Διεύθυνσης Φορολογικών Ελέγχων και Είσπραξης Δημοσίων Εσόδων ως εισηγητές ενώπιον της Επιτροπής μπορεί να ορίζονται προϊστάμενοι οργανικής μονάδας επιπέδου τμήματος της Κεντρικής Υπηρεσίας του Υπουργείου Οικονομικών. Επίσης, ως εισηγητές μπορεί να ορίζονται κατά τα ανωτέρω και επόπτες ελέγχου ή προϊστάμενοι οργανικής μονάδας επιπέδου τμήματος ή προϊστάμενοι Ειδικών Συνεργείων Ελέγχου του άρθρου 39 του ν. 1914/1990 (Α’ 178), όπως ισχύει, για τις υποθέσεις της Δ.Ο.Υ. Μεγάλων Επιχειρήσεων, των Ελεγκτικών Κέντρων και των Ειδικών Συνεργείων Ελέγχου του άρθρου 39 του ν.1914/1990, για τις λοιπές δε υποθέσεις και επόπτες ελέγχου ή προϊστάμενοι οργανικής μονάδας επιπέδου τμήματος των Δ.Ο.Υ. του Νομού Αττικής.</w:t>
      </w:r>
    </w:p>
    <w:p>
      <w:pPr>
        <w:pStyle w:val="MainText"/>
        <w:spacing w:before="120" w:after="0"/>
        <w:rPr>
          <w:lang w:val="el" w:eastAsia="el"/>
        </w:rPr>
      </w:pPr>
      <w:r>
        <w:rPr>
          <w:b/>
          <w:bCs/>
          <w:lang w:val="el" w:eastAsia="el"/>
        </w:rPr>
        <w:t>2.</w:t>
      </w:r>
      <w:r>
        <w:rPr>
          <w:lang w:val="el" w:eastAsia="el"/>
        </w:rPr>
        <w:t xml:space="preserve"> Η Επιτροπή συνέρχεται κατόπιν προσκλήσεως του Προέδρου και συνεδριάζει σε κατάστημα του Υπουργείου Οικονομικών. Η διοικητική και γραμματειακή υποστήριξη της Επιτροπής γίνεται από το Τμήμα Ε’ - Διοικητικής υποστήριξης οργάνων και επιτροπών ελέγχου και είσπραξης της Διεύθυνσης Πολιτικής Εισπράξεων.</w:t>
      </w:r>
    </w:p>
    <w:p>
      <w:pPr>
        <w:pStyle w:val="MainText"/>
        <w:spacing w:before="120" w:after="0"/>
        <w:rPr>
          <w:lang w:val="el" w:eastAsia="el"/>
        </w:rPr>
      </w:pPr>
      <w:r>
        <w:rPr>
          <w:b/>
          <w:bCs/>
          <w:lang w:val="el" w:eastAsia="el"/>
        </w:rPr>
        <w:t>3.</w:t>
      </w:r>
      <w:r>
        <w:rPr>
          <w:lang w:val="el" w:eastAsia="el"/>
        </w:rPr>
        <w:t xml:space="preserve"> Ο γραμματέας της Επιτροπής ειδοποιεί τον υπόχρεο, τα τακτικά και αναπληρωματικά μέλη της Επιτροπής με έγγραφη πρόσκληση, στην οποία αναγράφεται ο τόπος, η ημερομηνία και η ώρα συνεδρίασης της Επιτροπής, σύμφωνα με την πράξη της παρ. 2 του άρθρου 2 της παρούσας. Η παρουσία του μέλους κατά τη συνεδρίαση της Επιτροπής αναπληρώνει τη μη πρόσκλησή του. Κλήτευση των μελών (τακτικών ή αναπληρωματικών) της Επιτροπής δεν απαιτείται, όταν έχουν προκαθοριστεί τακτές ημερομηνίες συνεδριάσεων ή το μέλος έχει δηλώσει από πριν ότι κωλύεται ή όταν το κώλυμα αυτό είναι γνωστό στον Πρόεδρο του συλλογικού οργάνου.</w:t>
      </w:r>
    </w:p>
    <w:p>
      <w:pPr>
        <w:pStyle w:val="MainText"/>
        <w:spacing w:before="120" w:after="0"/>
        <w:rPr>
          <w:lang w:val="el" w:eastAsia="el"/>
        </w:rPr>
      </w:pPr>
      <w:r>
        <w:rPr>
          <w:b/>
          <w:bCs/>
          <w:lang w:val="el" w:eastAsia="el"/>
        </w:rPr>
        <w:t>4.</w:t>
      </w:r>
      <w:r>
        <w:rPr>
          <w:lang w:val="el" w:eastAsia="el"/>
        </w:rPr>
        <w:t xml:space="preserve"> Ως μέλος στις συνεδριάσεις της Επιτροπής συμμετέχει ο εκπρόσωπος του Συνδέσμου Επιχειρήσεων και Βιομηχανιών (Σ.Ε.Β.), στις περιπτώσεις δε που η διοικητική επίλυση της διαφοράς αφορά σε φορολογούμενο ο οποίος είναι μέλος ομοσπονδίας επαγγελματιών, βιοτεχνών ή εμπόρων, στις συνεδριάσεις της Επιτροπής συμμετέχει ο εκπρόσωπος της Γενικής Συνομοσπονδίας Επαγγελματιών, Βιοτεχνών, Εμπόρων Ελλάδος.</w:t>
      </w:r>
    </w:p>
    <w:p>
      <w:pPr>
        <w:pStyle w:val="MainText"/>
        <w:spacing w:before="120" w:after="0"/>
        <w:rPr>
          <w:lang w:val="el" w:eastAsia="el"/>
        </w:rPr>
      </w:pPr>
      <w:r>
        <w:rPr>
          <w:b/>
          <w:bCs/>
          <w:lang w:val="el" w:eastAsia="el"/>
        </w:rPr>
        <w:t>5.</w:t>
      </w:r>
      <w:r>
        <w:rPr>
          <w:lang w:val="el" w:eastAsia="el"/>
        </w:rPr>
        <w:t xml:space="preserve"> Η Επιτροπή βρίσκεται σε απαρτία και συνεδριάζει, όταν ο αριθμός των παρόντων μελών είναι μεγαλύτερος των απόντων. Συμμετοχή αναπληρωματικού μέλους επιτρέπεται μόνο σε περίπτωση απουσίας ή κωλύματος του τακτικού μέλους. Για τη συμμετοχή του αναπληρωματικού μέλους γίνεται ρητή μνεία στα πρακτικά συνεδριάσεων. Μέλη της Επιτροπής που συνδέονται μεταξύ τους ή με τον υπόχρεο με συγγένεια μέχρι και τον τέταρτο βαθμό εξ αίματος ή αγχιστείας δεν μπορούν να μετέχουν στην ίδια συνεδρίαση.</w:t>
      </w:r>
    </w:p>
    <w:p>
      <w:pPr>
        <w:pStyle w:val="MainText"/>
        <w:spacing w:before="120" w:after="0"/>
        <w:rPr>
          <w:lang w:val="el" w:eastAsia="el"/>
        </w:rPr>
      </w:pPr>
      <w:r>
        <w:rPr>
          <w:b/>
          <w:bCs/>
          <w:lang w:val="el" w:eastAsia="el"/>
        </w:rPr>
        <w:t>6.</w:t>
      </w:r>
      <w:r>
        <w:rPr>
          <w:lang w:val="el" w:eastAsia="el"/>
        </w:rPr>
        <w:t xml:space="preserve"> Η Επιτροπή κατά την άσκηση των αρμοδιοτήτων της αλληλογραφεί, μέσω του Προέδρου της, απευθείας με κάθε δημόσια αρχή ή υπηρεσία ή νομικό πρόσωπο δημοσίου ή ιδιωτικού δικαίου, τα οποία έχουν υποχρέωση να παρέχουν τις πληροφορίες που τους ζητούνται.</w:t>
      </w:r>
    </w:p>
    <w:p>
      <w:pPr>
        <w:pStyle w:val="MainText"/>
        <w:spacing w:before="120" w:after="0"/>
        <w:rPr>
          <w:lang w:val="el" w:eastAsia="el"/>
        </w:rPr>
      </w:pPr>
      <w:r>
        <w:rPr>
          <w:b/>
          <w:bCs/>
          <w:lang w:val="el" w:eastAsia="el"/>
        </w:rPr>
        <w:t>7.</w:t>
      </w:r>
      <w:r>
        <w:rPr>
          <w:lang w:val="el" w:eastAsia="el"/>
        </w:rPr>
        <w:t xml:space="preserve"> Ο Πρόεδρος της Επιτροπής μπορεί να καλεί στις συνεδριάσεις οποιονδήποτε ιδιώτη ή υπάλληλο ή μέλος του Νομικού Συμβουλίου του Κράτους για την παροχή πληροφοριών ή γνωμών σχετικά με την υπόθεση που έχει εισαχθεί στην Επιτροπή.</w:t>
      </w:r>
    </w:p>
    <w:p>
      <w:pPr>
        <w:pStyle w:val="MainText"/>
        <w:spacing w:before="120" w:after="0"/>
        <w:rPr>
          <w:lang w:val="el" w:eastAsia="el"/>
        </w:rPr>
      </w:pPr>
      <w:r>
        <w:rPr>
          <w:b/>
          <w:bCs/>
          <w:lang w:val="el" w:eastAsia="el"/>
        </w:rPr>
        <w:t>8.</w:t>
      </w:r>
      <w:r>
        <w:rPr>
          <w:lang w:val="el" w:eastAsia="el"/>
        </w:rPr>
        <w:t xml:space="preserve"> Κατά τη συνεδρίαση της Επιτροπής τηρούνται πρακτικά συνεδριάσεων, τα οποία υπογράφονται από τον Πρόεδρο και τον γραμματέα της Επιτροπής και στα οποία, μεταξύ άλλων, γράφονται τα ονόματα των μελών που συμμετέχουν και καταχωρίζεται σε αυτά η γνώμη της μειοψηφίας.</w:t>
      </w:r>
    </w:p>
    <w:p>
      <w:pPr>
        <w:pStyle w:val="MainText"/>
        <w:spacing w:before="120" w:after="0"/>
        <w:rPr>
          <w:lang w:val="el" w:eastAsia="el"/>
        </w:rPr>
      </w:pPr>
      <w:r>
        <w:rPr>
          <w:b/>
          <w:bCs/>
          <w:lang w:val="el" w:eastAsia="el"/>
        </w:rPr>
        <w:t>9.</w:t>
      </w:r>
      <w:r>
        <w:rPr>
          <w:lang w:val="el" w:eastAsia="el"/>
        </w:rPr>
        <w:t xml:space="preserve"> Ως προς τα βιβλία που τηρούνται από τον γραμματέα της Επιτροπής έχει εφαρμογή η Α.Υ.Ο./ΠΟΛ.1238/22.11.2011 (Β’ 2777) «Οργάνωση, λειτουργία και καθορισμός ημερομηνίας έναρξης υποβολής αιτήσεων διοικητικής επίλυσης φορολογικών διαφορών ενώπιον της Επιτροπής Διοικητικής Επίλυσης Φορολογικών Διαφορών (Ε.Δ.Ε.Φ.Δ.) του άρθρου 70Α του ν. 2238/1994 (Α’-151)».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Τρόπος έκδοσης της απόφασης της Επιτροπήςκατά την εξέταση της ενδικοφανούς προσφυγής</w:t>
      </w:r>
    </w:p>
    <w:p>
      <w:pPr>
        <w:pStyle w:val="MainText"/>
        <w:spacing w:before="120" w:after="0"/>
        <w:rPr>
          <w:lang w:val="el" w:eastAsia="el"/>
        </w:rPr>
      </w:pPr>
      <w:r>
        <w:rPr>
          <w:b/>
          <w:bCs/>
          <w:lang w:val="el" w:eastAsia="el"/>
        </w:rPr>
        <w:t>1.</w:t>
      </w:r>
      <w:r>
        <w:rPr>
          <w:lang w:val="el" w:eastAsia="el"/>
        </w:rPr>
        <w:t xml:space="preserve"> Η Επιτροπή ελέγχει την πράξη κατά το νόμο και την ουσία, εφαρμόζοντας αναλογικά τις διατάξεις της παραγράφου 5 του άρθρου 79 του ν. 2717/1999 (Α’ 97) «Κώδικας Διοικητικής Δικονομίας».</w:t>
      </w:r>
    </w:p>
    <w:p>
      <w:pPr>
        <w:pStyle w:val="MainText"/>
        <w:spacing w:before="120" w:after="0"/>
        <w:rPr>
          <w:lang w:val="el" w:eastAsia="el"/>
        </w:rPr>
      </w:pPr>
      <w:r>
        <w:rPr>
          <w:b/>
          <w:bCs/>
          <w:lang w:val="el" w:eastAsia="el"/>
        </w:rPr>
        <w:t>2.</w:t>
      </w:r>
      <w:r>
        <w:rPr>
          <w:lang w:val="el" w:eastAsia="el"/>
        </w:rPr>
        <w:t xml:space="preserve"> Η Επιτροπή, αφού λάβει υπ’ όψη της τα στοιχεία του φακέλου της υπόθεσης, την εισήγηση του ορισθέντος ως εισηγητή της υπόθεσης, τις απόψεις της φορολογικής αρχής επί των ισχυρισμών του υπόχρεου, τα στοιχεία που προσκομίζονται και όσα αναπτύσσονται από αυτόν εγγράφως ή προφορικώς, καθώς και κάθε άλλο στοιχείο, εκδίδει απόφαση, που υπογράφεται από τον Πρόεδρο και τον γραμματέα αυτής, η οποία λαμβάνεται με φανερή ψηφοφορία και με την οποία η Επιτροπή αποφαίνεται αιτιολογημένα επί της αιτήσεως. Στην απόφαση αναγράφονται και οι γνώμες των τυχόν μειοψηφούντων μελών.</w:t>
      </w:r>
    </w:p>
    <w:p>
      <w:pPr>
        <w:pStyle w:val="MainText"/>
        <w:spacing w:before="120" w:after="0"/>
        <w:rPr>
          <w:lang w:val="el" w:eastAsia="el"/>
        </w:rPr>
      </w:pPr>
      <w:r>
        <w:rPr>
          <w:b/>
          <w:bCs/>
          <w:lang w:val="el" w:eastAsia="el"/>
        </w:rPr>
        <w:t>3.</w:t>
      </w:r>
      <w:r>
        <w:rPr>
          <w:lang w:val="el" w:eastAsia="el"/>
        </w:rPr>
        <w:t xml:space="preserve"> Η Επιτροπή με την απόφασή της μπορεί, κατά περίπτωση, να ακυρώσει εν όλω ή εν μέρει ή να τροποποιήσει την οικεία καταλογιστική πράξη ή να απορρίψει την αίτηση.</w:t>
      </w:r>
    </w:p>
    <w:p>
      <w:pPr>
        <w:pStyle w:val="MainText"/>
        <w:spacing w:before="120" w:after="0"/>
        <w:rPr>
          <w:lang w:val="el" w:eastAsia="el"/>
        </w:rPr>
      </w:pPr>
      <w:r>
        <w:rPr>
          <w:b/>
          <w:bCs/>
          <w:lang w:val="el" w:eastAsia="el"/>
        </w:rPr>
        <w:t>4.</w:t>
      </w:r>
      <w:r>
        <w:rPr>
          <w:lang w:val="el" w:eastAsia="el"/>
        </w:rPr>
        <w:t xml:space="preserve"> Ο εισηγητής της υπόθεσης, σε συνεργασία όπου συντρέχει λόγος με τον διενεργήσαντα τον έλεγχο υπάλληλο, επιμελείται άμεσα για τον προσδιορισμό της φορολογικής υποχρέωσης σύμφωνα με την απόφαση της Επιτροπής.</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αποδέχεται την απόφαση της Επιτροπής, συντάσσεται πρακτικό διοικητικής επίλυσης της διαφοράς, το οποίο υπογράφεται από τα μέλη της Επιτροπής και τον υπόχρεο, με την αναγραφή σε αυτό της γνώμης τυχόν μειοψηφήσαντος μέλους, προκειμένου η διαφορά να επιλυθεί ολικά ή μερικά κατά περίπτωση. Αντίγραφο του πρακτικού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(K.E.Δ.E.).</w:t>
      </w:r>
    </w:p>
    <w:p>
      <w:pPr>
        <w:pStyle w:val="MainText"/>
        <w:spacing w:before="120" w:after="0"/>
        <w:rPr>
          <w:lang w:val="el" w:eastAsia="el"/>
        </w:rPr>
      </w:pPr>
      <w:r>
        <w:rPr>
          <w:b/>
          <w:bCs/>
          <w:lang w:val="el" w:eastAsia="el"/>
        </w:rPr>
        <w:t>6.</w:t>
      </w:r>
      <w:r>
        <w:rPr>
          <w:lang w:val="el" w:eastAsia="el"/>
        </w:rPr>
        <w:t xml:space="preserve"> Η απόφαση της Επιτροπής, με τα αντίγραφα των οικείων πρακτικών συνεδρίασης, το φάκελο της υπόθεσης και τυχόν πρακτικά διοικητικής επίλυσης, διαβιβάζονται από το Τμήμα Ε’ - Διοικητικής υποστήριξης οργάνων και επιτροπών ελέγχου και είσπραξης της Διεύθυνσης Πολιτικής Εισπράξεων στην αρμόδια φορολογική αρχή, η οποία μεριμνά για την άμεση επίδοση της απόφασης της Επιτροπής στον υπόχρεο.</w:t>
      </w:r>
    </w:p>
    <w:p>
      <w:pPr>
        <w:pStyle w:val="MainText"/>
        <w:spacing w:before="120" w:after="0"/>
        <w:rPr>
          <w:lang w:val="el" w:eastAsia="el"/>
        </w:rPr>
      </w:pPr>
      <w:r>
        <w:rPr>
          <w:b/>
          <w:bCs/>
          <w:lang w:val="el" w:eastAsia="el"/>
        </w:rPr>
        <w:t>7.</w:t>
      </w:r>
      <w:r>
        <w:rPr>
          <w:lang w:val="el" w:eastAsia="el"/>
        </w:rPr>
        <w:t xml:space="preserve"> Ο υπόχρεος μπορεί να προσφύγει κατά της απόφασης της Επιτροπής, σύμφωνα με τα οριζόμενα στον Κώδικα Διοικητικής Δικονομίας.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5Δημοσίευση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Ιουνίου 2012</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ΓΕΩΡΓΙΟΣ ΖΑΝΙΑΣ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