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Δ2/Α/22287</w:t>
      </w:r>
    </w:p>
    <w:p>
      <w:pPr>
        <w:spacing w:before="240" w:after="240"/>
        <w:rPr>
          <w:lang w:val="el" w:eastAsia="el"/>
        </w:rPr>
      </w:pPr>
      <w:r>
        <w:rPr>
          <w:lang w:val="el" w:eastAsia="el"/>
        </w:rPr>
        <w:t>Τροποποίηση της υπουργικής απόφασης υπ’ αριθ.</w:t>
      </w:r>
    </w:p>
    <w:p>
      <w:pPr>
        <w:spacing w:before="240" w:after="240"/>
        <w:rPr>
          <w:lang w:val="el" w:eastAsia="el"/>
        </w:rPr>
      </w:pPr>
      <w:r>
        <w:rPr>
          <w:lang w:val="el" w:eastAsia="el"/>
        </w:rPr>
        <w:t>Δ2/Α/16570/7.9.2005 (ΦΕΚ 1306/Β/16.9.2005).</w:t>
      </w:r>
    </w:p>
    <w:p>
      <w:pPr>
        <w:spacing w:before="240" w:after="240"/>
        <w:rPr>
          <w:lang w:val="el" w:eastAsia="el"/>
        </w:rPr>
      </w:pPr>
      <w:r>
        <w:rPr>
          <w:b/>
          <w:bCs/>
          <w:lang w:val="el" w:eastAsia="el"/>
        </w:rPr>
        <w:t>Ο ΥΦΥΠΟΥΡΓΟΣ ΠΕΡΙΒΑΛΛΟΝΤΟΣ,ΕΝΕΡΓΕΙΑΣ ΚΑΙ ΚΛΙΜΑΤΙΚΗΣ ΑΛΛΑΓΗΣ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Π.Δ. 63/2005 «Kωδικοποίηση της νομοθεσίας για την Κυβέρνηση και τα Κυβερνητικά Όργανα» (ΦΕΚ 98/Α/22.4.2005).</w:t>
      </w:r>
    </w:p>
    <w:p>
      <w:pPr>
        <w:spacing w:before="240" w:after="240"/>
        <w:rPr>
          <w:lang w:val="el" w:eastAsia="el"/>
        </w:rPr>
      </w:pPr>
      <w:r>
        <w:rPr>
          <w:lang w:val="el" w:eastAsia="el"/>
        </w:rPr>
        <w:t>2. Το Π.Δ. 381/1989 «Οργανισμός του Υπουργείου Βιομηχανίας, Ενέργειας και Τεχνολογίας» (ΦΕΚ Α’ 168), όπως τροποποιήθηκε με το Π.Δ. 191/1996 «Τροποποίηση των διατάξεων του Π.Δ. 381/1989 “Οργανισμός του Υπουργείου Βιομηχανίας – Ενέργειας και Τεχνολογίας”» (ΦΕΚ Α’ 154).</w:t>
      </w:r>
    </w:p>
    <w:p>
      <w:pPr>
        <w:spacing w:before="240" w:after="240"/>
        <w:rPr>
          <w:lang w:val="el" w:eastAsia="el"/>
        </w:rPr>
      </w:pPr>
      <w:r>
        <w:rPr>
          <w:lang w:val="el" w:eastAsia="el"/>
        </w:rPr>
        <w:t>3. Το Π.Δ. 27/1996 «Συγχώνευση των Υπουργείων Τουρισμού, Βιομηχανίας, Ενέργειας και Τεχνολογίας και Εμπορίου στο Υπουργείο Ανάπτυξης», (ΦΕΚ Α’ 19), σε συνδυασμό με το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(ΦΕΚ Α’ 213) και το Π.Δ. 189/2009 «Καθορισμός και ανακατανομή αρμοδιοτήτων των Υπουργείων» (ΦΕΚ Α’ 221). 4. Το Π.Δ. 86/2012 «Διορισμός Υπουργών, Αναπληρωτών Υπουργών και Υφυπουργών» (ΦΕΚ 141/Α/21.6.2012).</w:t>
      </w:r>
    </w:p>
    <w:p>
      <w:pPr>
        <w:spacing w:before="240" w:after="240"/>
        <w:rPr>
          <w:lang w:val="el" w:eastAsia="el"/>
        </w:rPr>
      </w:pPr>
      <w:r>
        <w:rPr>
          <w:lang w:val="el" w:eastAsia="el"/>
        </w:rPr>
        <w:t>5. Την υπ’ αριθ. 34240/06.07.2012 απόφαση περί «Καθορισμού αρμοδιοτήτων του Υφυπουργού Περιβάλλοντος, Ενέργειας και Κλιματικής Αλλαγής Ασημάκη Παπαγεωργίου» (ΦΕΚ 2101/Β/09.07.2012) όπως τροποποιήθηκε με την Απόφαση υπ’ αριθ. 15378/19.07.2012 (ΦΕΚ 2166/Β/19.07.2012).</w:t>
      </w:r>
    </w:p>
    <w:p>
      <w:pPr>
        <w:spacing w:before="240" w:after="240"/>
        <w:rPr>
          <w:lang w:val="el" w:eastAsia="el"/>
        </w:rPr>
      </w:pPr>
      <w:r>
        <w:rPr>
          <w:lang w:val="el" w:eastAsia="el"/>
        </w:rPr>
        <w:t>6. Το Ν. 2362/1995 (ΦΕΚ Α’/247) «Περί Δημοσίου Λογιστικού ελέγχου των δαπανών του Κράτους και άλλες διατάξεις».</w:t>
      </w:r>
    </w:p>
    <w:p>
      <w:pPr>
        <w:spacing w:before="240" w:after="240"/>
        <w:rPr>
          <w:lang w:val="el" w:eastAsia="el"/>
        </w:rPr>
      </w:pPr>
      <w:r>
        <w:rPr>
          <w:lang w:val="el" w:eastAsia="el"/>
        </w:rPr>
        <w:t>7. Το Ν. 1571/1985 (ΦΕΚ. 192/Α/14.11.85) και ειδικά το άρθρο 14 παρ. 7.1.δ, 7.2, 7.3 και 7.6 όπως αντικαταστάθηκε με το άρθρο 22 παρ. 1 του Ν. 2516/1997 (ΦΕΚ. 159/τ.Α/ 8.8.1997). 8. Το Ν. 3054/2002 «Οργάνωση της αγοράς πετρελαιοειδών και άλλες διατάξεις» (ΦΕΚ. Α’ 230) και ιδιαίτερα το άρθρο 7 παρ. 6 και 7 αυτού, άρθρο 14 παρ. 1.γ.xι και άρθρο 23 παρ. 5 όπως αυτός έχει τροποποιηθεί και ισχύει, σήμερα με το Ν. 3335/2005 (ΦΕΚ. 95/Α/20.4.2005) και ειδικά με το άρθρο 10 αυτού.</w:t>
      </w:r>
    </w:p>
    <w:p>
      <w:pPr>
        <w:spacing w:before="240" w:after="240"/>
        <w:rPr>
          <w:lang w:val="el" w:eastAsia="el"/>
        </w:rPr>
      </w:pPr>
      <w:r>
        <w:rPr>
          <w:lang w:val="el" w:eastAsia="el"/>
        </w:rPr>
        <w:t>9. Την υπ’ αριθ. Δ2/16570/7.9.2005 υπουργική απόφαση «Κανονισμός Αδειών» (ΦΕΚ 1306/Β/16.9.2005), όπως έχει τροποποιηθεί και ισχύει.</w:t>
      </w:r>
    </w:p>
    <w:p>
      <w:pPr>
        <w:spacing w:before="240" w:after="240"/>
        <w:rPr>
          <w:lang w:val="el" w:eastAsia="el"/>
        </w:rPr>
      </w:pPr>
      <w:r>
        <w:rPr>
          <w:lang w:val="el" w:eastAsia="el"/>
        </w:rPr>
        <w:t>10. To έγγραφο,με υπ’ αριθ. 40092/2833/19.09.2012, του τμήματος προδιαγραφών και ελέγχου μεταφορών επικινδύνων εμπορευμάτων και ευπαθών τροφίμων ,του Υπουργείου Ανάπτυξης ,Ανταγωνιστικότητας, Υποδομών ,Μεταφορών και Δικτύων .</w:t>
      </w:r>
    </w:p>
    <w:p>
      <w:pPr>
        <w:spacing w:before="240" w:after="240"/>
        <w:rPr>
          <w:lang w:val="el" w:eastAsia="el"/>
        </w:rPr>
      </w:pPr>
      <w:r>
        <w:rPr>
          <w:lang w:val="el" w:eastAsia="el"/>
        </w:rPr>
        <w:t>11. Την υπ’ αριθ. 52167/4683/2011 κοινή υπουργική απόφαση «Προσαρμογή της Ελληνικής νομοθεσίας προς τις διατάξεις της Οδηγίας 61/2010/ΕΕ της Επιτροπής της 2ας Σεπτεμβρίου 2010 για την πρώτη προσαρμογή στην επιστημονική και τεχνική πρόοδο των παραρτημάτων της οδηγίας 2008/68/ΕΚ του Ευρωπαϊκού Κοινοβουλίου και του Συμβουλίου, σχετικά με τις εσωτερικές μεταφορές επικίνδυνων εμπορευμάτων» (ΦΕΚ 37Β/20.1.2012).</w:t>
      </w:r>
    </w:p>
    <w:p>
      <w:pPr>
        <w:spacing w:before="240" w:after="240"/>
        <w:rPr>
          <w:lang w:val="el" w:eastAsia="el"/>
        </w:rPr>
      </w:pPr>
      <w:r>
        <w:rPr>
          <w:lang w:val="el" w:eastAsia="el"/>
        </w:rPr>
        <w:t>12. Την υπ’ αριθ. Ο-11136/24.8.2005 γνώμη της Ρυθμιστικής Αρχής Ενέργειας (Ρ.Α.Ε).</w:t>
      </w:r>
    </w:p>
    <w:p>
      <w:pPr>
        <w:spacing w:before="240" w:after="240"/>
        <w:rPr>
          <w:lang w:val="el" w:eastAsia="el"/>
        </w:rPr>
      </w:pPr>
      <w:r>
        <w:rPr>
          <w:lang w:val="el" w:eastAsia="el"/>
        </w:rPr>
        <w:t>13. Την υπ’ αριθμ. Δ2/Α/Φ.8/16282/30.6.2008 υπουργική απόφαση «Άδεια πωλητή πετρελαίου θέρμανσης» (ΦΕΚ 1220/Β/30.6.2008), όπως τροποποιήθηκε με τις Δ2/Α/Φ.8/18985/2.9.2009 (ΦΕΚ 1820/Β/2.9.2009) και Δ2/ Α/Φ.8/16472/12.8.2010 (ΦΕΚ 1443/Β/6.9.2010) αποφάσεις.</w:t>
      </w:r>
    </w:p>
    <w:p>
      <w:pPr>
        <w:spacing w:before="240" w:after="240"/>
        <w:rPr>
          <w:lang w:val="el" w:eastAsia="el"/>
        </w:rPr>
      </w:pPr>
      <w:r>
        <w:rPr>
          <w:lang w:val="el" w:eastAsia="el"/>
        </w:rPr>
        <w:t>14. Το γεγονός ότι οι διατάξεις της απόφασης αυτής δεν προκαλούν δαπάνη σε βάρος του Κρατικού Προϋπολογισμού.</w:t>
      </w:r>
    </w:p>
    <w:p>
      <w:pPr>
        <w:spacing w:before="240" w:after="240"/>
        <w:rPr>
          <w:lang w:val="el" w:eastAsia="el"/>
        </w:rPr>
      </w:pPr>
      <w:r>
        <w:rPr>
          <w:lang w:val="el" w:eastAsia="el"/>
        </w:rPr>
        <w:t>15. Την υπ’ αριθ. 132/02.11.2012 θετική γνωμοδότηση της Ρ.Α.Ε για την εν λόγω τροποποίηση του Κανονισμού Αδειών, αποφασίζουμε:</w:t>
      </w:r>
    </w:p>
    <w:p>
      <w:pPr>
        <w:spacing w:before="240" w:after="240"/>
        <w:rPr>
          <w:lang w:val="el" w:eastAsia="el"/>
        </w:rPr>
      </w:pPr>
      <w:r>
        <w:rPr>
          <w:lang w:val="el" w:eastAsia="el"/>
        </w:rPr>
        <w:t>1. Η παρ. 1.γ. του άρθρου 21 της απόφασης Δ2/Α/ Φ.8/16570/7.9.2005(Φ.Ε.Κ. 1306/Β/16.9.2005) «Κανονισμός Αδειών» αντικαθίσταται ως εξής:</w:t>
      </w:r>
    </w:p>
    <w:p>
      <w:pPr>
        <w:spacing w:before="240" w:after="240"/>
        <w:rPr>
          <w:lang w:val="el" w:eastAsia="el"/>
        </w:rPr>
      </w:pPr>
      <w:r>
        <w:rPr>
          <w:lang w:val="el" w:eastAsia="el"/>
        </w:rPr>
        <w:t>«Όλοι οι κάτοχοι άδειας πωλητή πετρελαίου θέρμανσης και για όσο χρόνο διατηρούν την άδειά τους, υποχρεούνται να κατέχουν τουλάχιστον ένα Ι.Χ. – Β/Φ όχημα ή να έχουν μισθώσει τουλάχιστον ένα Δ.Χ. – Β/Φ για την εξυπηρέτηση των αναγκών τροφοδοσίας για την πώληση πετρελαίου θέρμανσης, το οποίο να πληροί τους τεχνικούς όρους της διεθνούς συμφωνίας A.D.R. 2011, βάσει σχετικού πιστοποιητικού και το οποίο υποχρεούνται να αντικαθιστούν σε περίπτωση απώλειας, καταστροφής, ή λήξεως της μισθωτικής σύμβασης».</w:t>
      </w:r>
    </w:p>
    <w:p>
      <w:pPr>
        <w:spacing w:before="240" w:after="240"/>
        <w:rPr>
          <w:lang w:val="el" w:eastAsia="el"/>
        </w:rPr>
      </w:pPr>
      <w:r>
        <w:rPr>
          <w:lang w:val="el" w:eastAsia="el"/>
        </w:rPr>
        <w:t>2. Από την ισχύ της απόφασης αυτής παύει να ισχύει η παρ. 1.γ. της απόφασης Δ2/Α/Φ.8/16570/7.9.2005 (ΦΕΚ. 1306/Β/16.9.2005), «Κανονισμός Αδειών», κατά τα λοιπά εξακολουθεί να ισχύει η απόφαση αυτή.</w:t>
      </w:r>
    </w:p>
    <w:p>
      <w:pPr>
        <w:spacing w:before="240" w:after="240"/>
        <w:rPr>
          <w:lang w:val="el" w:eastAsia="el"/>
        </w:rPr>
      </w:pPr>
      <w:r>
        <w:rPr>
          <w:lang w:val="el" w:eastAsia="el"/>
        </w:rPr>
        <w:t>3. Η συμπλήρωση εικοσαετίας των αδειών κυκλοφορίας των ως άνω βυτιοφόρων που τυχόν επήλθε από 30–9-2011 και εφεξής, δεν επηρεάζει την ισχύ των αδειών πωλητή πετρελαίου θέρμανσης.</w:t>
      </w:r>
    </w:p>
    <w:p>
      <w:pPr>
        <w:spacing w:before="240" w:after="240"/>
        <w:rPr>
          <w:lang w:val="el" w:eastAsia="el"/>
        </w:rPr>
      </w:pPr>
      <w:r>
        <w:rPr>
          <w:lang w:val="el" w:eastAsia="el"/>
        </w:rPr>
        <w:t>4. Η ισχύς της παρούσας απόφασης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ΑΣΗΜΑΚΗΣ ΠΑΠΑΓΕΩΡΓΙΟΥ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