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Γ 5047848 ΕΞ 2012</w:t>
      </w:r>
    </w:p>
    <w:p>
      <w:pPr>
        <w:pStyle w:val="PreambelText"/>
        <w:spacing w:before="240" w:after="240"/>
        <w:rPr>
          <w:lang w:val="el" w:eastAsia="el"/>
        </w:rPr>
      </w:pPr>
      <w:r>
        <w:rPr>
          <w:lang w:val="el" w:eastAsia="el"/>
        </w:rPr>
        <w:t>Τροποποίηση της υπ’ αριθμ. Φ.1554/811/17.12.2008 απόφασης Υπουργού Οικονομίας και Οικονομικών (ΦΕΚ 2694/Β’/2008) «Όροι και διατυπώσεις για την μετουσίωση και την απαλλαγή από τον Ειδικό Φόρο Κατανάλωσης της αιθυλικής αλκοόλης, που παραλαμβάνεται από βιομηχανίες και βιοτεχνίες, κατ’ εφαρμογή της περιπτώσεως β’ της παραγράφου 1 του άρθρου 83 του Ν. 2960/2001», όπως αυτή τροποποιήθηκε και συμπληρώθηκε με την υπ’ αριθμ. ΔΕΦ- Κ5000214ΕΞ2009/31.12.2009 απόφαση Υπουργού Οικονομικών (ΦΕΚ 13/Β’/15.1.2010).</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περιπτώσεως β’ της παραγράφου 1 και της παραγράφου 4 του άρθρου 83 καθώς και του άρθρου</w:t>
      </w:r>
    </w:p>
    <w:p>
      <w:pPr>
        <w:pStyle w:val="PreambelText"/>
        <w:spacing w:before="240" w:after="240"/>
        <w:rPr>
          <w:lang w:val="el" w:eastAsia="el"/>
        </w:rPr>
      </w:pPr>
      <w:r>
        <w:rPr>
          <w:lang w:val="el" w:eastAsia="el"/>
        </w:rPr>
        <w:t>183 του Ν. 2960/2001 «Εθνικός Τελωνειακός Κώδικας» (ΦΕΚ 265/Α’),</w:t>
      </w:r>
    </w:p>
    <w:p>
      <w:pPr>
        <w:pStyle w:val="StructureList1"/>
        <w:spacing w:before="120" w:after="0"/>
        <w:rPr>
          <w:lang w:val="el" w:eastAsia="el"/>
        </w:rPr>
      </w:pPr>
      <w:r>
        <w:rPr>
          <w:lang w:val="el" w:eastAsia="el"/>
        </w:rPr>
        <w:t>β)</w:t>
      </w:r>
      <w:r>
        <w:rPr>
          <w:lang w:val="en" w:eastAsia="en"/>
        </w:rPr>
        <w:tab/>
      </w:r>
      <w:r>
        <w:rPr>
          <w:lang w:val="el" w:eastAsia="el"/>
        </w:rPr>
        <w:t>του Ν. 2969/2001 «Αιθυλική αλκοόλη και αλκοολούχα προϊόντα» (ΦΕΚ 281/Α’) και ειδικότερα της παρ. 10 του άρθρου 3 αυτού,</w:t>
      </w:r>
    </w:p>
    <w:p>
      <w:pPr>
        <w:pStyle w:val="StructureList1"/>
        <w:spacing w:before="120" w:after="0"/>
        <w:rPr>
          <w:lang w:val="el" w:eastAsia="el"/>
        </w:rPr>
      </w:pPr>
      <w:r>
        <w:rPr>
          <w:lang w:val="el" w:eastAsia="el"/>
        </w:rPr>
        <w:t>γ)</w:t>
      </w:r>
      <w:r>
        <w:rPr>
          <w:lang w:val="en" w:eastAsia="en"/>
        </w:rPr>
        <w:tab/>
      </w:r>
      <w:r>
        <w:rPr>
          <w:lang w:val="el" w:eastAsia="el"/>
        </w:rPr>
        <w:t>της υπ’ αριθμ. Φ.1554/811/17.12.2008 απόφασης Υπουργού Οικονομίας και Οικονομικών «Όροι και διατυπώσεις για την μετουσίωση και την απαλλαγή από τον Ειδικό Φόρο Κατανάλωσης της αιθυλικής αλκοόλης, που παραλαμβάνεται από βιομηχανίες και βιοτεχνίες, κατ’ εφαρμογή της περιπτώσεως β’ της παραγράφου 1 του άρθρου 83 του Ν. 2960/2001» (ΦΕΚ 2694/Β’/2008), δ) της υπ’ αριθ. ΔΕΦΚ5000214ΕΞ2009/31.12.2009 απόφασης Υπουυργού Οικονομικών «Τροποποίηση και συμπλήρωση της υπ’ αριθμ. Φ.1554/811/17.12.2008 απόφασης Υπουργού Οικονομίας και Οικονομικών “Όροι και διατυπώσεις για την μετουσίωση και την απαλλαγή από τον Ειδικό Φόρο Κατανάλωσης της αιθυλικής αλκοόλης, που παραλαμβάνεται από βιομηχανίες και βιοτεχνίες, κατ’ εφαρμογή της περιπτώσεως β’ της παραγράφου 1 του άρθρου 83 του Ν. 2960/2001’’» (ΦΕΚ 13/Β’/2010).</w:t>
      </w:r>
    </w:p>
    <w:p>
      <w:pPr>
        <w:pStyle w:val="PreambelText"/>
        <w:spacing w:before="240" w:after="240"/>
        <w:rPr>
          <w:lang w:val="el" w:eastAsia="el"/>
        </w:rPr>
      </w:pPr>
      <w:r>
        <w:rPr>
          <w:lang w:val="el" w:eastAsia="el"/>
        </w:rPr>
        <w:t>2. Τα σχετικά υπομνήματα των ενδιαφερομένων επιχειρήσεων.</w:t>
      </w:r>
    </w:p>
    <w:p>
      <w:pPr>
        <w:pStyle w:val="PreambelText"/>
        <w:spacing w:before="240" w:after="240"/>
        <w:rPr>
          <w:lang w:val="el" w:eastAsia="el"/>
        </w:rPr>
      </w:pPr>
      <w:r>
        <w:rPr>
          <w:lang w:val="el" w:eastAsia="el"/>
        </w:rPr>
        <w:t>3. Την ανάγκη χορήγησης της δυνατότητας παραγωγής και διακίνησης, στις φορολογικές αποθήκες εμπορίας χύμα αιθυλικής αλκοόλης, των χαρακτηριζομένων ως «βοηθητικών εκτύπωσης» προϊόντων σύμφωνα με τους όρους της προαναφερθείσας υπ’ αριθμ. ΔΕΦΚ5000214ΕΞ2009/31.12.2009 απόφασης Υπουργού Οικονομικών.</w:t>
      </w:r>
    </w:p>
    <w:p>
      <w:pPr>
        <w:pStyle w:val="PreambelText"/>
        <w:spacing w:before="240" w:after="240"/>
        <w:rPr>
          <w:lang w:val="el" w:eastAsia="el"/>
        </w:rPr>
      </w:pPr>
      <w:r>
        <w:rPr>
          <w:lang w:val="el" w:eastAsia="el"/>
        </w:rPr>
        <w:t>4.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 Α’/22.4.2005).</w:t>
      </w:r>
    </w:p>
    <w:p>
      <w:pPr>
        <w:pStyle w:val="PreambelText"/>
        <w:spacing w:before="240" w:after="240"/>
        <w:rPr>
          <w:lang w:val="el" w:eastAsia="el"/>
        </w:rPr>
      </w:pPr>
      <w:r>
        <w:rPr>
          <w:lang w:val="el" w:eastAsia="el"/>
        </w:rPr>
        <w:t>5. Την υπ’ αριθμ. ΥΠΟΙΚ 07927ΕΞ/19.9.2012 κοινή απόφαση του Πρωθυπουργού και του Υπουργού Οικονομικών «Ανάθεση αρμοδιοτήτων στον Υφυπουργό Οικονομικών Γεώργιο Μαυραγάνη» (ΦΕΚ 2574/Β’/24.9.2012).</w:t>
      </w:r>
    </w:p>
    <w:p>
      <w:pPr>
        <w:pStyle w:val="PreambelText"/>
        <w:spacing w:before="240" w:after="240"/>
        <w:rPr>
          <w:lang w:val="el" w:eastAsia="el"/>
        </w:rPr>
      </w:pPr>
      <w:r>
        <w:rPr>
          <w:lang w:val="el" w:eastAsia="el"/>
        </w:rPr>
        <w:t>6. Το γεγονός ότι από τις διατάξεις της παρούσας δεν προκύπτει δαπάνη σε βάρος του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υπ’ αριθμ. Φ.1554/811/17.12.2008 απόφαση Υπουργού Οικονομίας και οικονομικών (ΦΕΚ 2694/ Β’/2008) «Όροι και διατυπώσεις για την μετουσίωση και την απαλλαγή από τον Ειδικό Φόρο Κατανάλωσης της αιθυλικής αλκοόλης, που παραλαμβάνεται από βιομηχανίες και βιοτεχνίες, κατ’ εφαρμογή της περιπτώσεως β’ της παραγράφου 1 του άρθρου 83 του Ν. 2960/2001» ως εξής:</w:t>
      </w:r>
    </w:p>
    <w:p>
      <w:pPr>
        <w:pStyle w:val="MainText"/>
        <w:spacing w:before="120" w:after="0"/>
        <w:rPr>
          <w:lang w:val="el" w:eastAsia="el"/>
        </w:rPr>
      </w:pPr>
      <w:r>
        <w:rPr>
          <w:b/>
          <w:bCs/>
          <w:lang w:val="el" w:eastAsia="el"/>
        </w:rPr>
        <w:t>1.</w:t>
      </w:r>
      <w:r>
        <w:rPr>
          <w:lang w:val="el" w:eastAsia="el"/>
        </w:rPr>
        <w:t xml:space="preserve"> Στο άρθρο 7Α αυτής, όπως αυτό προστέθηκε με την παράγραφο 1 του άρθρου 1 της υπ’ αριθμ. ΔΕΦ- Κ5000214ΕΞ2009/31.12.2009 απόφασης Υπουργού Οικονομικών «Τροποποίηση και συμπλήρωση της υπ’ αριθμ. Φ1554/811/17.12.2008 απόφασηςΥπουργού Οικονομίας και Οικονομικών» (ΦΕΚ 13/Β’/2010), το τμήμα II αναριθμείται ως τμήμα III και ως τμήμα II προστίθενται οι ακόλουθες διατάξεις:</w:t>
      </w:r>
    </w:p>
    <w:p>
      <w:pPr>
        <w:spacing w:before="240" w:after="240"/>
        <w:rPr>
          <w:lang w:val="el" w:eastAsia="el"/>
        </w:rPr>
      </w:pPr>
      <w:r>
        <w:rPr>
          <w:lang w:val="el" w:eastAsia="el"/>
        </w:rPr>
        <w:t>«II. Τα εν λόγω βοηθητικά εκτύπωσης μπορούν να παράγονται και από τους οινοπνευματοποιούς Β’ κατηγορίας ως και από τις φορολογικές αποθήκες εμπορίας αιθυλικής αλκοόλης, επ’ ονόματι των οποίων χορηγούνται οι προβλεπόμενες εγκρίσεις μετουσίωσης, εφαρμοζομένων αναλόγως των όρων και διατυπώσεων που καθορίζονται στο τμήμα I του παρόντος άρθρου τόσο για τις βιομηχανίες / βιοτεχνίες παραγωγής των βοηθητικών εκτύπωσης όσο και για τις επιχειρήσεις παραλαβής αυτών.</w:t>
      </w:r>
    </w:p>
    <w:p>
      <w:pPr>
        <w:spacing w:before="240" w:after="240"/>
        <w:rPr>
          <w:lang w:val="el" w:eastAsia="el"/>
        </w:rPr>
      </w:pPr>
      <w:r>
        <w:rPr>
          <w:lang w:val="el" w:eastAsia="el"/>
        </w:rPr>
        <w:t>Τα παραγόμενα και διακινούμενα, από τις φορολογικές αποθήκες εμπορίας αιθυλικής αλκοόλης, βοηθητικά εκτύπωσης καταχωρούνται σε ιδιαίτερη θέση στην υποβαλλόμενη μηνιαία δήλωση, καθώς και στα τηρούμενα βιβλία, από αυτές, σύμφωνα με τις σχετικές διατάξεις των Ν. 2960/2001 και 2969/2001, μη εφαρμοζομένων στην περίπτωση αυτή των διατάξεων της παραγράφου Β.4 του τμήματος I του παρόντος άρθρου σχετικά με την υποχρέωση υποβολής τριμηνιαίων καταστάσεων κίνησης των εν λόγω προϊόντων».</w:t>
      </w:r>
    </w:p>
    <w:p>
      <w:pPr>
        <w:pStyle w:val="MainText"/>
        <w:spacing w:before="120" w:after="0"/>
        <w:rPr>
          <w:lang w:val="el" w:eastAsia="el"/>
        </w:rPr>
      </w:pPr>
      <w:r>
        <w:rPr>
          <w:b/>
          <w:bCs/>
          <w:lang w:val="el" w:eastAsia="el"/>
        </w:rPr>
        <w:t>2.</w:t>
      </w:r>
      <w:r>
        <w:rPr>
          <w:lang w:val="el" w:eastAsia="el"/>
        </w:rPr>
        <w:t xml:space="preserve"> Τα δύο τελευταία εδάφια της παραγράφου 3 του άρθρου 2 αυτής όπως προστέθηκαν με την παράγραφο 2 του άρθρου 1 της υπ’ αριθμ. ΔΕΦΚ5000 214ΕΞ2009/ 31.12.2009 απόφασης Υπουργού οικονομικών, αντικαθίστανται ως ακολούθως:</w:t>
      </w:r>
    </w:p>
    <w:p>
      <w:pPr>
        <w:spacing w:before="240" w:after="240"/>
        <w:rPr>
          <w:lang w:val="el" w:eastAsia="el"/>
        </w:rPr>
      </w:pPr>
      <w:r>
        <w:rPr>
          <w:lang w:val="el" w:eastAsia="el"/>
        </w:rPr>
        <w:t>«Η συντασσόμενη έκθεση – εισήγηση για τον καθορισμό της δυναμικότητας ισχύει για χρονικό διάστημα τριών ετών υπό την προϋπόθεση ότι η ενδιαφερομένη υποβάλλει ετησίως, με την αίτησή της για τη χορήγηση της έγκρισης μετουσίωσης, υπεύθυνη δήλωση στην οποία θα δηλώνεται ότι δεν έχει επέλθει μεταβολή στα στοιχεία βάσει των οποίων έγινε ο καθορισμός της δυναμικότητας.</w:t>
      </w:r>
    </w:p>
    <w:p>
      <w:pPr>
        <w:spacing w:before="240" w:after="240"/>
        <w:rPr>
          <w:lang w:val="el" w:eastAsia="el"/>
        </w:rPr>
      </w:pPr>
      <w:r>
        <w:rPr>
          <w:lang w:val="el" w:eastAsia="el"/>
        </w:rPr>
        <w:t>Ωστόσο, κατά το χρονικό αυτό διάστημα, η εγκριθείσα δυναμικότητα δύναται να επανακαθορίζεται, είτε κατόπιν σχετικού αιτήματος της ενδιαφερομένης τηρουμένης προς τούτο της κατά τα ανωτέρω διαδικασίας, είτε εφ’ όσον ήθελε κριθεί αναγκαίο βάσει των προκυπτόντων στοιχείων, από τους διενεργούμενους, σύμφωνα με την παράγραφο 1 του άρθρου 7 της παρούσας, ελέγχους.</w:t>
      </w:r>
    </w:p>
    <w:p>
      <w:pPr>
        <w:spacing w:before="240" w:after="240"/>
        <w:rPr>
          <w:lang w:val="el" w:eastAsia="el"/>
        </w:rPr>
      </w:pPr>
      <w:r>
        <w:rPr>
          <w:lang w:val="el" w:eastAsia="el"/>
        </w:rPr>
        <w:t>Στην περίπτωση αυτή τροποποιείται αναλόγως η χορηγηθείσα, σύμφωνα με τις διατάξεις της παραγράφου 6 του παρόντος άρθρου, έγκριση μετουσίωσης».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Οι ρυθμίσεις της παραγράφου 2 του άρθρου 1 της παρούσας απόφασης εφαρμόζονται και για τις εκθέσεις – εισηγήσεις δυναμικότητας που έχουν εκδοθεί και ισχύουν κατά την έναρξη ισχύος αυτής.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Κυβέρνησης.</w:t>
      </w:r>
    </w:p>
    <w:p>
      <w:pPr>
        <w:spacing w:before="240" w:after="240"/>
        <w:rPr>
          <w:lang w:val="el" w:eastAsia="el"/>
        </w:rPr>
      </w:pPr>
      <w:r>
        <w:rPr>
          <w:lang w:val="el" w:eastAsia="el"/>
        </w:rPr>
        <w:t>Αθήνα, 21 Δεκεμβρίου 2012</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