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ΦΟΡΟΛΟΓΙΚΩΝ ΕΛΕΓΧΩΝ &amp;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ΕΙΣΠΡΑΞΗΣ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ΔΙΕΥΘΥΝΣΗ ΕΛΕΓΧΩΝ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ΑΝΑΡΤΗΤΕΑ ΣΤΟ ∆ΙΑ∆ΙΚΤΥΟ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∆ηµοσιεύτηκε στο Φ.Ε.Κ. 1186Β’/15.5.13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25 Απριλίου 2013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Πρωτ.ΔΕΛ Α1072429ΕΞ 2013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ΠΡΟΣ : ΩΣ Π.Δ.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101 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 3375203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Aνάθεση διενέργειας φορολογικού ελέγχου.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4 του άρθρου 66 του ν.2238/1994 (ΦΕΚ Α΄ 151),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Π.∆.284/1988 «Οργανισµός του Υπουργείου Οικονοµικών»,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Α.Υ.Ο. ΠΟΛ. 1039/2012 (Φ.Ε.Κ. Β' 342) ,όπως ισχύει, περί του ανακαθορισµού της καθ’ ύλην αρµοδιότητας µεταξύ των ∆.Ο.Υ. και ∆.Ε.Κ., σε θέµατα φορολογικού ελέγχου, αναστολή λειτουργίας των Π.Ε.Κ. και µεταφορά των εκκρεµών υποθέσεών τους στις ∆.Ο.Υ.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περίπτωσης 2 της υποπαραγράφου Ε.2 της παραγράφου Ε΄ του άρθρου πρώτου του ν.4093/2012, όπως ισχύει και την αριθ.∆6Α 1015213ΕΞ2013/28.1.2013 (Φ.Ε.Κ. Β΄ 130/28.1.2013) Απόφαση του Υπουργού Οικονοµικών και του Υφυπουργού Οικονοµικών «Μεταβίβαση αρµοδιοτήτων στον Γενικό Γραµµατέα της Γενικής Γραµµατείας ∆ηµοσίων Εσόδων του Υπουργείου Οικονοµικών».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αριθ.5467/11.3.2013 έγγραφο της ∆.Ο.Υ. (Α΄- Β΄) Ιωαννίνων (Α΄- Β΄ Ιωαννίνων – ∆ελβινακίου - Κόνιτσας – Μετσόβου).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Ότι η απόφαση αυτή δεν προκαλεί δαπάνη σε βάρος του Κρατικού Προϋπολογισµού.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Αποφασίζουµε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Αναθέτουµε στον Προϊστάµενο της ∆.Ο.Υ. Α΄ Λάρισας τη διενέργεια τακτικού (οριστικού) φορολογικού ελέγχου, σύµφωνα µε τις ισχύουσες διατάξεις, των οικονοµικών ετών 2000-2010 του «ΕΥΡΩΠΑΙΚΟΥ ∆ΙΚΤΥΟΥ ΑΝΘΡΩΠΙΣΤΙΚΗΣ ΑΝΑΠΤΥΞΗΣ» (Α.Φ.Μ. 099530269).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Η ανωτέρω ∆.Ο.Υ. θα συντάξει όλες τις σχετικές εκθέσεις ελέγχου για τα οικονοµικά έτη 2000-2010 και θα αποστείλει αυτές στην αρµόδια ∆.Ο.Υ. (Α΄- Β΄) Ιωαννίνων (Α΄- Β΄ Ιωαννίνων –∆ελβινακίου - Κόνιτσας – Μετσόβου) για τις περαιτέρω νόµιµες ενέργειες.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Η απόφαση αυτή να δηµοσιευθεί στην Εφηµερίδα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Προϊσταµένη της Γραµµατείας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Θ. ΘΕΟΧΑΡΗΣ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Ι. </w:t>
      </w: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∆.Ο.Υ. (Α΄- Β΄) Ιωαννίνων (Α΄- Β΄ Ιωαννίνων –∆ελβινακίου - Κόνιτσας – Μετσόβου) - Χατζηπελλερέν 1 – Τ.Κ. 451 10 – ΙΩΑΝΝΙΝΑ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∆.Ο.Υ. Α΄ Λάρισας (Α΄ Λάρισας – Αγιάς – Τυρνάβου) – Παπαναστασίου 52 – Τ.Κ. 411 10 - ΛΑΡΙΣΑ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Εθνικό Τυπογραφείο (για δηµοσίευση)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Γεν. ∆/νση Οικονοµικής Επιθεώρησης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∆/νση Επιθεώρησης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Εµµ. Μπενάκη 13-15 &amp; Νικηταρά 1 – Τ.Κ.101 84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ΙΙΙ. </w:t>
      </w:r>
      <w:r>
        <w:rPr>
          <w:b/>
          <w:bCs/>
          <w:u w:val="single"/>
          <w:lang w:val="el" w:eastAsia="el"/>
        </w:rPr>
        <w:t xml:space="preserve">ΕΣΩΤΕΡΙΚΗ </w:t>
      </w:r>
      <w:r>
        <w:rPr>
          <w:b/>
          <w:bCs/>
          <w:u w:val="single"/>
          <w:lang w:val="el" w:eastAsia="el"/>
        </w:rPr>
        <w:t>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Γεν. Γραµµατέα ∆ηµοσίων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Γεν. ∆/ντή Οικονοµικής Επιθεώρησης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Αναπλ. Γεν. ∆/νριας Φορολογικών Ελέγχων &amp; Είσπραξης ∆ηµοσίων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∆/νση Επιχειρησιακού Σχεδιασµού – Tµήµα A΄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∆/νση Ελέγχων – Τµήµα Α΄ (5) – Φ.7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