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ΠΟΛ.1131/5.6.2013</w:t>
      </w:r>
    </w:p>
    <w:p>
      <w:pPr>
        <w:pStyle w:val="Title"/>
        <w:spacing w:before="120" w:after="360"/>
        <w:rPr>
          <w:lang w:val="el" w:eastAsia="el"/>
        </w:rPr>
      </w:pPr>
      <w:r>
        <w:rPr>
          <w:lang w:val="el" w:eastAsia="el"/>
        </w:rPr>
        <w:t>Τιμή ανά τετραγωνικό μέτρο οικοπέδου δήμου ή κοινότητας, για τα έτη 2011, 2012 και 2013, στις περιοχές όπου δεν εφαρμόζεται το αντικειμενικό σύστημα, αποκλειστικά για τον προσδιορισμό του φόρου ακίνητης περιουσίας φυσικών προσώπων</w:t>
      </w:r>
    </w:p>
    <w:p>
      <w:pPr>
        <w:spacing w:before="240" w:after="240"/>
        <w:rPr>
          <w:lang w:val="el" w:eastAsia="el"/>
        </w:rPr>
      </w:pPr>
      <w:r>
        <w:rPr>
          <w:lang w:val="el" w:eastAsia="el"/>
        </w:rPr>
        <w:t>(ΦΕΚ Β' 1499/20-06-2013)</w:t>
      </w:r>
    </w:p>
    <w:p>
      <w:pPr>
        <w:spacing w:before="240" w:after="240"/>
        <w:rPr>
          <w:lang w:val="el" w:eastAsia="el"/>
        </w:rPr>
      </w:pPr>
      <w:r>
        <w:rPr>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άρθρων 27 έως και 50 του ν. 3842/2010 (ΦΕΚ Α' 58) και ειδικότερα τις διατάξεις της παρ. 1 του άρθρου 32, με τις οποίες εξουσιοδοτείται ο Υπουργός Οικονομικών να καθορίζει με απόφασή του την αξία των οικοπέδων σε περιοχές όπου δεν εφαρμόζεται το αντικειμενικό σύστημα με βάση την κατώτερη τιμή ανά τετραγωνικό μέτρο οικοπέδου του δήμου ή της κοινότητας.</w:t>
      </w:r>
    </w:p>
    <w:p>
      <w:pPr>
        <w:spacing w:before="240" w:after="240"/>
        <w:rPr>
          <w:lang w:val="el" w:eastAsia="el"/>
        </w:rPr>
      </w:pPr>
      <w:r>
        <w:rPr>
          <w:lang w:val="el" w:eastAsia="el"/>
        </w:rPr>
        <w:t>2. Τις ληφθείσες τιμές από τις αρμόδιες Δ.Ο.Υ. που αναφέρονται στην 1η Ιανουαρίου 2011.</w:t>
      </w:r>
    </w:p>
    <w:p>
      <w:pPr>
        <w:spacing w:before="240" w:after="240"/>
        <w:rPr>
          <w:lang w:val="el" w:eastAsia="el"/>
        </w:rPr>
      </w:pPr>
      <w:r>
        <w:rPr>
          <w:lang w:val="el" w:eastAsia="el"/>
        </w:rPr>
        <w:t>3. Την αριθ. 07927 ΕΞ 2012 απόφαση του Πρωθυπουργού και του Υπουργού Οικονομικών «Ανάθεση αρμοδιοτήτων στον Υφυπουργό Οικονομικών Γεώργιο Μαυραγάνη» (ΦΕΚ 2574 Β'/24-9-2012).</w:t>
      </w:r>
    </w:p>
    <w:p>
      <w:pPr>
        <w:spacing w:before="240" w:after="240"/>
        <w:rPr>
          <w:lang w:val="el" w:eastAsia="el"/>
        </w:rPr>
      </w:pPr>
      <w:r>
        <w:rPr>
          <w:lang w:val="el" w:eastAsia="el"/>
        </w:rPr>
        <w:t xml:space="preserve">4. Το γεγονός ότι με την παρούσα απόφαση δεν προκαλείται δαπάνη στον Κρατικό Προϋπολογισμό, </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Οι τιμές οικοπέδου ανά τετραγωνικό μέτρο δήμου ή κοινότητας στις περιοχές όπου δεν εφαρμόζεται το αντικειμενικό σύστημα προσδιορισμού της αξίας, αποκλειστικά και μόνο για τις ανάγκες επιβολής του Φόρου Ακίνητης Περιουσίας στα φυσικά πρόσωπα, για το έτη 2011, 2012 και 2013 καθορίζονται ως ακολούθως:</w:t>
      </w:r>
    </w:p>
    <w:p>
      <w:pPr>
        <w:spacing w:before="240" w:after="240"/>
        <w:rPr>
          <w:lang w:val="el" w:eastAsia="el"/>
        </w:rPr>
      </w:pPr>
      <w:r>
        <w:rPr>
          <w:b/>
          <w:bCs/>
          <w:i/>
          <w:iCs/>
          <w:lang w:val="el" w:eastAsia="el"/>
        </w:rPr>
        <w:t>(Βλέπε συνημμένο αρχείο)</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5 Ιουνίου 2013</w:t>
      </w:r>
    </w:p>
    <w:p>
      <w:pPr>
        <w:spacing w:before="240" w:after="240"/>
        <w:rPr>
          <w:lang w:val="el" w:eastAsia="el"/>
        </w:rPr>
      </w:pPr>
      <w:r>
        <w:rPr>
          <w:lang w:val="el" w:eastAsia="el"/>
        </w:rPr>
        <w:t>Ο ΥΦΥΠΟΥΡΓΟΣ</w:t>
      </w:r>
    </w:p>
    <w:p>
      <w:pPr>
        <w:spacing w:before="240" w:after="240"/>
        <w:rPr>
          <w:lang w:val="el" w:eastAsia="el"/>
        </w:rPr>
      </w:pPr>
      <w:r>
        <w:rPr>
          <w:lang w:val="el" w:eastAsia="el"/>
        </w:rPr>
        <w:t>ΓΕΩΡΓΙΟΣ ΜΑΥΡΑΓΑΝΗΣ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4"/>
        <w:gridCol w:w="2183"/>
        <w:gridCol w:w="2062"/>
        <w:gridCol w:w="3016"/>
        <w:gridCol w:w="13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Περιφέρεια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Δήμος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Αλεξανδρουπόλεως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Βύσσας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Διδυμοτείχου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Κυπρίνου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Μεταξάδων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Ορεστιάδος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Ορφέα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Σαμοθράκης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Σουφλίου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Τραϊανούπολης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Τριγώνου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 Δημητρίου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 Παρασκευής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Αγίων Αναργύρων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Αθηναίων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Αλίμου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Αμαρουσίου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Βριλησσίων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Δάφνης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Εκάλης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Ηλιουπόλεως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Ιλίου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Κηφισιάς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Λυκόβρυση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Μελισσίων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Μεταμορφώσεως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Ηρακλείου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Ιωνίας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Πεντέλης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Φιλαδέλφειας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Χαλκηδόνος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Παλαιού Φαλήρου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Πεντέλης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Πεύκη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Υμηττού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Χαϊδαρίου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Χαλανδρίου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Αναβύσσου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Αχαρνών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Βάρης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Βούλας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3.040,00 €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Γλυκών Νερών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Καλυβίων Θωρικού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Κερατέας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Κοινότητα Κουβαρά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Μαραθώνα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Μαρκοπούλου Μεσογαίας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Νέας Μάκρης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Παλλήνης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Ραφήνας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 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Λιοσίων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 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Ασπροπύργου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 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Βιλλίων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 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Ελευσίνος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 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Οινόης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 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Μάνδρας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 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Μεγαρέων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Πειραιώς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Αίγινας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Πειραιώς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Αμπελακίων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Πειραιώς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Δραπετσώνας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Πειραιώς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Αγκιστρίου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Πειραιώς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Αντικυθήρων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7,16 €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Πειραιώς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Κορυδαλλού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Πειραιώς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Κυθήρων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Πειραιώς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Πειραιώς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Νικαίας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747,00 €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Πειραιώς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Περάματος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Πειραιώς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Σαλαμίνας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Πειραιώς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Τροιζήνος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Πειραιώς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Ύδρας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Σάμου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 Κηρύκου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Σάμου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Βαθέος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Σάμου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Ευδήλου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Σάμου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Καρλοβασίων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Σάμου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Μαραθοκάμπου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Σάμου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Πυθαγορείου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Σάμου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Ραχών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Σάμου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Φούρνων Κορσέων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 Μηνά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Αμανής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Καμποχώρων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Καρδαμύλων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Μαστιχοχωρίων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Οινουσσών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Ομηρούπολης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Ψαρών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Αγγελοκάστρου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Αγρινίου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Αιτωλικού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Αλυζίας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Αμφιλοχίας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Ανακτορίου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Αντιρρίου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Αποδοτίας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Αρακύνθου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Αστακού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Θέρμου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Θεστιέων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Ιεράς Πόλης Μεσολογγίου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Ινάχου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Μακρυνείας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Μεδεώνος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Μενιδίου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Ναυπάκτου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Νεάπολης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Οινιάδων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Παναιτωλικού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Παραβόλας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Παρακαμπυλίων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Πλατάνου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Πυλλήνης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Στράτου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Φυτειών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Χάλκειας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Αιγείρας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Αιγίου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Ακράτας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Αροανίας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Βραχναιίκων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Διακοπτού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Δύμης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Ερινεού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Καλαβρύτων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Κλειτορίας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Καλεντζίου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Λεοντίου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Λαρισσού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Μεσσάτιδος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Μόβρης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Πατρέων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Συμπολιτείας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Τριταίας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Ωλενίας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Αλιφείρας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8,33 €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Αμαλιάδος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Ανδραβίδας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Ανδριτσαίνης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Αρχαίας Ολυμπίας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Βαρθολομιού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Βουπρασίας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Βώλακος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Γαστούνης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Ζαχάρως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Ιαρδάνου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Κάστρου-Κυλλήνης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Λαμπείας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Λασιώνος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Λεχαινών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Πηνείας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Πύργου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Σκιλλούντος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Τραγανού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Φιγαλείας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Φολόης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Ωλένης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Φλωρίνης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Αετού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Φλωρίνης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Αμυνταίου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Φλωρίνης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Κάτω Κλεινών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Φλωρίνης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Βαρικού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Φλωρίνης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Κρυσταλλοπηγής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Φλωρίνης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Λεχόβου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Φλωρίνης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Νυμφαίου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Φλωρίνης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Φλωρίνης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Περάσματος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Φλωρίνης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Πρεσπών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Φλωρίνης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Φιλώτα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Φλωρίνης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Φλώρινας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Αγνάντων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Αθαμανίας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Αμβρακικού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Αράχθου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Αρταίων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Βλαχερνών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Καραίσκάκη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Θεοδωριάνων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Κομμένου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Μελισουργών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Κομποτίου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Ξηροβουνίου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Τετραφυλίας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Φιλοθέης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Θεσπρωτίας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Αχέροντα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Θεσπρωτίας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Ηγουμενίτσας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Θεσπρωτίας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Σουλίου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Θεσπρωτίας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Μαργαριτίου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Θεσπρωτίας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Παραμυθιάς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Θεσπρωτίας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Παραποτάμου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Θεσπρωτίας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Σαγιάδας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Θεσπρωτίας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Συβότων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Θεσπρωτίας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Φιλιατών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Πρεβέζης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Ανωγείου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Πρεβέζης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Ζαλόγγου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Πρεβέζης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Θεσπρωτικού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Πρεβέζης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Κρανέας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Πρεβέζης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Λούρου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Πρεβέζης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Πάργας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Πρεβέζης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Πρεβέζης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Πρεβέζης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Φαναρίου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Πρεβέζης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Φιλλιπιάδος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Καρδίτσης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Αθαμανών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Καρδίτσης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Αργιθέας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Καρδίτσης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Καρδίτσης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Αχελώου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Καρδίτσης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Ιθώμης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Καρδίτσης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Ιτάμου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Καρδίτσης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Καλλιφωνίου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Καρδίτσης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Κάμπου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Καρδίτσης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Καρδίτσας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Καρδίτσης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Ανατ. Αργιθέας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Καρδίτσης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Μενελαΐδας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Καρδίτσης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Μητρόπολης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Καρδίτσης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Μουζακίου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Καρδίτσης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Νεβρόπολης Αγράφων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Καρδίτσης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Παλαμά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Καρδίτσης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Παμίσου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Καρδίτσης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Πλαστήρα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Καρδίτσης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Ρεντίνης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Καρδίτσης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Σελλάνων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Καρδίτσης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Σοφάδων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Καρδίτσης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Ταμασίου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Καρδίτσης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Φύλλου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Τρικάλων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Αιθήκων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Τρικάλων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Τρικάλων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Γόμφων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Τρικάλων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Εστιαιώτιδας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Τρικάλων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Καλαμπάκας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Τρικάλων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Καλλιδένδρου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Τρικάλων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Καστανιάς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Τρικάλων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Κλεινοβού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Τρικάλων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Κόζιακα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Τρικάλων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Ασπροποτάμου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Τρικάλων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Μυροφύλλου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Τρικάλων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Νεράιδας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Τρικάλων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Μαλακασίου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Τρικάλων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Μεγάλων Καλυβίων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Τρικάλων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Οιχαλίας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Τρικάλων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Παληοκάστρου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Τρικάλων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Παραληθαίων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Τρικάλων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Πελλιναίων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Τρικάλων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Πιαλείων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Τρικάλων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Πινδαίων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Τρικάλων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Πύλης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Τρικάλων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Τρικκαίων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Τρικάλων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Τυμφαίων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8,00 €</w:t>
            </w:r>
            <w:r>
              <w:rPr>
                <w:rStyle w:val="Hyperlink"/>
                <w:b w:val="0"/>
                <w:bCs w:val="0"/>
                <w:i w:val="0"/>
                <w:iCs w:val="0"/>
                <w:smallCaps w:val="0"/>
                <w:color w:val="000000"/>
                <w:sz w:val="20"/>
                <w:szCs w:val="20"/>
                <w:u w:val="none" w:color="0000EE"/>
                <w:vertAlign w:val="superscript"/>
                <w:lang w:val="el" w:eastAsia="el"/>
              </w:rPr>
              <w:footnoteReference w:id="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Τρικάλων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Φαλωρείας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Τρικάλων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Φαρκαδόνας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Τρικάλων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Χασίων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Ζακύνθου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Αλυκών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25,00 €</w:t>
            </w:r>
            <w:r>
              <w:rPr>
                <w:rStyle w:val="Hyperlink"/>
                <w:b w:val="0"/>
                <w:bCs w:val="0"/>
                <w:i w:val="0"/>
                <w:iCs w:val="0"/>
                <w:smallCaps w:val="0"/>
                <w:color w:val="000000"/>
                <w:sz w:val="20"/>
                <w:szCs w:val="20"/>
                <w:u w:val="none" w:color="0000EE"/>
                <w:vertAlign w:val="superscript"/>
                <w:lang w:val="el" w:eastAsia="el"/>
              </w:rPr>
              <w:footnoteReference w:id="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Ζακύνθου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Αρκαδίων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30,00 €</w:t>
            </w:r>
            <w:r>
              <w:rPr>
                <w:rStyle w:val="Hyperlink"/>
                <w:b w:val="0"/>
                <w:bCs w:val="0"/>
                <w:i w:val="0"/>
                <w:iCs w:val="0"/>
                <w:smallCaps w:val="0"/>
                <w:color w:val="000000"/>
                <w:sz w:val="20"/>
                <w:szCs w:val="20"/>
                <w:u w:val="none" w:color="0000EE"/>
                <w:vertAlign w:val="superscript"/>
                <w:lang w:val="el" w:eastAsia="el"/>
              </w:rPr>
              <w:footnoteReference w:id="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Ζακύνθου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Αρτεμισίων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25,00 €</w:t>
            </w:r>
            <w:r>
              <w:rPr>
                <w:rStyle w:val="Hyperlink"/>
                <w:b w:val="0"/>
                <w:bCs w:val="0"/>
                <w:i w:val="0"/>
                <w:iCs w:val="0"/>
                <w:smallCaps w:val="0"/>
                <w:color w:val="000000"/>
                <w:sz w:val="20"/>
                <w:szCs w:val="20"/>
                <w:u w:val="none" w:color="0000EE"/>
                <w:vertAlign w:val="superscript"/>
                <w:lang w:val="el" w:eastAsia="el"/>
              </w:rPr>
              <w:footnoteReference w:id="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Ζακύνθου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Ελατίων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Ζακύνθου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Ζακυνθίων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30,00 €</w:t>
            </w:r>
            <w:r>
              <w:rPr>
                <w:rStyle w:val="Hyperlink"/>
                <w:b w:val="0"/>
                <w:bCs w:val="0"/>
                <w:i w:val="0"/>
                <w:iCs w:val="0"/>
                <w:smallCaps w:val="0"/>
                <w:color w:val="000000"/>
                <w:sz w:val="20"/>
                <w:szCs w:val="20"/>
                <w:u w:val="none" w:color="0000EE"/>
                <w:vertAlign w:val="superscript"/>
                <w:lang w:val="el" w:eastAsia="el"/>
              </w:rPr>
              <w:footnoteReference w:id="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Ζακύνθου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Λαγανά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35,00 €</w:t>
            </w:r>
            <w:r>
              <w:rPr>
                <w:rStyle w:val="Hyperlink"/>
                <w:b w:val="0"/>
                <w:bCs w:val="0"/>
                <w:i w:val="0"/>
                <w:iCs w:val="0"/>
                <w:smallCaps w:val="0"/>
                <w:color w:val="000000"/>
                <w:sz w:val="20"/>
                <w:szCs w:val="20"/>
                <w:u w:val="none" w:color="0000EE"/>
                <w:vertAlign w:val="superscript"/>
                <w:lang w:val="el" w:eastAsia="el"/>
              </w:rPr>
              <w:footnoteReference w:id="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Κερκύρας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 Γεωργίου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Κερκύρας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Αχιλλείων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Κερκύρας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Εσπερίων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Κερκύρας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Θιναλίου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Κερκύρας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Κασσωπαίων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Κερκύρας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Κερκυραίων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Κερκύρας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Ερεικούσσης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Κερκύρας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Μαθρακίου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Κερκύρας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Οθωνών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Κερκύρας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Κορισσίων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Κερκύρας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Λευκιμμαίων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Κερκύρας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Μελιτειέων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Κερκύρας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Παλαιοκαστριτών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Κερκύρας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Παξών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Κερκύρας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Παρελίων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Κερκύρας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Φαιάκων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Κεφαλληνίας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Αργοστολίου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Κεφαλληνίας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Ελειού-Πρόνων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Κεφαλληνίας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Ερίσου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Κεφαλληνίας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Ιθάκης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Κεφαλληνίας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Ομαλών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Κεφαλληνίας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Λειβαθούς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Κεφαλληνίας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Κεφαλληνίας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Πυλαρέων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Κεφαλληνίας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Σάμης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Λευκάδος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Απολλωνίων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Λευκάδος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Ελλομένου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Λευκάδος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Καρυάς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Λευκάδος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Καλάμου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Λευκάδος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Καστού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Λευκάδος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Λευκάδος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Λευκάδος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Μεγανησίου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Λευκάδος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Σφακιωτών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Αλεξάνδρειας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Ανθεμίων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11,44 €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Αντιγονιδών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Αποστόλου Παύλου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Βεργίνας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Βέροιας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Δοβρά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Ειρηνούπολης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13,21 €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Μακεδονίδος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Νάουσας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13,37 €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Πλατέος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Ευκαρπίας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 Γεωργίου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Αγίου Αθανασίου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Αξιού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Απολλωνίας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Αρέθουσας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Ασσήρου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Βερτίσκου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Εγνατίας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Επανωμής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Εχεδώρου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Θερμαίκού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Θέρμης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Καλαμαριάς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Καλλιθέας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Καλλινδοίων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Κορωνείας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Κουφαλίων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Λαγκαδά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Λαχανά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Μαδύτου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Μίκρας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Μυγδονίας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Πανοράματος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Πολίχνης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Πυλαίας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Ρεντίνας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Σοχού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Χαλάστρας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Χαλκηδόνος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Χορτιάτη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Αξιούπολης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Γαλλικού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Γουμένισσας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Δοίράνης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Ευρωπού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Λιβαδίων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Κρουσσών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Μουριών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Πικρολίμνης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Πολυκάστρου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Χέρσου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Αλιστράτης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Αμφίπολης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Αχινού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Βισαλτίας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Εμμανουήλ Παππά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Μητρουσίου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Αγκίστρου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`Ανω Βροντούς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Αχλαδοχωρίου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Ορεινής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Προμαχώνος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Κορμίστας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Λευκώνα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Ζίχνης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Νιγρίτης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Πετριτσίου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Ροδολίβους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Σιδηροκάστρου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Σκοτούσσης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Σκουτάρεως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Στρυμώνα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Στρυμωνικού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Τραγίλου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Χαλκιδικής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Ζερβοχωρίων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Χαλκιδικής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Καλλικράτειας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Χαλκιδικής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Μουδανιών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Χαλκιδικής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Τρίγλιας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Κρήτης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Γουβών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Αρχαγγέλου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Αστυπάλαιας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Αταβύρου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Αφάντου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Ηρακλειδών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Ιαλυσού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Καλλιθέας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Καλυμνίων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Καμείρου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Καρπάθου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Αγαθονησίου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Ολύμπου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Λειψών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Λέρου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Λινδίων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Μεγίστης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Νισύρου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Νότιας Ρόδου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Πάτμου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Πεταλούδων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Σύμης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Τήλου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Χάλκης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Κυκλάδων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Κυκλάδων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Κυκλάδων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Κορθίου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Κυκλάδων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Κύθνου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Κυκλάδων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Υδρούσας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Αρκαδίας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Απόλλωνος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Αρκαδίας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Κλείτορος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Αγίων Θεοδώρων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`Ασσου-Λεχαίου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69,50 €</w:t>
            </w:r>
            <w:r>
              <w:rPr>
                <w:rStyle w:val="Hyperlink"/>
                <w:b w:val="0"/>
                <w:bCs w:val="0"/>
                <w:i w:val="0"/>
                <w:iCs w:val="0"/>
                <w:smallCaps w:val="0"/>
                <w:color w:val="000000"/>
                <w:sz w:val="20"/>
                <w:szCs w:val="20"/>
                <w:u w:val="none" w:color="0000EE"/>
                <w:vertAlign w:val="superscript"/>
                <w:lang w:val="el" w:eastAsia="el"/>
              </w:rPr>
              <w:footnoteReference w:id="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Βόχας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Ευρωστίνης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Λουτρακίου-Περαχώρας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Νεμέας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Ξυλοκάστρου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Σαρωνικού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Σικυωνίων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Σολυγείας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Στυμφαλίας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Τενέας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Φενεού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Στερεάς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Βοιωτίας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Αντικύρας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Στερεάς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Αιδηψού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Στερεάς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Αρτεμισίου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Στερεάς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Αυλώνος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Στερεάς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Διρφύων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Στερεάς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Διστύων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Στερεάς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Ελυμνίων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Στερεάς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Ιστιαίας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Στερεάς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Καρύστου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Στερεάς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Κηρέως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Στερεάς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Καφηρέως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Στερεάς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 Λιχάδος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Στερεάς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Κονιστρών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Στερεάς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Κύμης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Στερεάς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Μαρμαρίου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Στερεάς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Μεσσαπίων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Στερεάς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Νηλέως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Στερεάς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Στυραίων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Στερεάς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Ταμυναίων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Στερεάς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Ωρεών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Στερεάς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Φωκίδος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Ευπαλίου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12,00 €</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ΠΟΛ.1093/4.4.20144.4.2014</w:t>
      </w:r>
    </w:p>
  </w:footnote>
  <w:footnote w:id="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ΠΟΛ.1093/4.4.20144.4.2014</w:t>
      </w:r>
    </w:p>
  </w:footnote>
  <w:footnote w:id="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ΠΟΛ.1093/4.4.20144.4.2014</w:t>
      </w:r>
    </w:p>
  </w:footnote>
  <w:footnote w:id="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ΠΟΛ.1093/4.4.20144.4.2014</w:t>
      </w:r>
    </w:p>
  </w:footnote>
  <w:footnote w:id="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ΠΟΛ.1093/4.4.20144.4.2014</w:t>
      </w:r>
    </w:p>
  </w:footnote>
  <w:footnote w:id="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ΠΟΛ.1093/4.4.20144.4.2014</w:t>
      </w:r>
    </w:p>
  </w:footnote>
  <w:footnote w:id="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ΠΟΛ.1208/7.9.20147.9.2014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