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ΠΟΛ. 1142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Υποχρεώσεις υπηρεσιών, νομικών προσώπων και οργανώσεων σύμφωνα με την παρ. 2 του άρθρου 82 του Ν. 2238/1994, όπως τροποποιήθηκε από την παρ. 2 του άρθρου 17 του Ν. 3842/2010 (ΦΕΚ 58Α’), την παρ. 9 του άρθρου 21 του Ν. 3943/2011 (ΦΕΚ 66Α’) και την παρ. 3 του άρθρου 32 του Ν. 3986/2011 (ΦΕΚ 152 Α’).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Τις διατάξεις της παραγράφου 2 του άρθρου 82 του Κ.Φ.Ε. όπως ισχύει μετά τις τροποποιήσεις της παραγράφου 2 του άρθρου 17 του Ν. 3842/2010 (ΦΕΚ 58 Α’), της παραγράφου 9 του άρθρου 21 του Ν. 3943/2011 (ΦΕΚ 66Α’) και της παραγράφου 3 του άρθρου 32 του Ν. 3986/2011 (ΦΕΚ 152Α’).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 Π.Δ. 85/2012 «Ίδρυση και μετονομασία Υπουργείων, μεταφορά και κατάργηση υπηρεσιών» (Φ.Ε.Κ. Α’ 141), όπως αντικαταστάθηκε από το άρθρο πρώτο του Π.Δ. 94/2012 (Φ.Ε.Κ. Α’ 149).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 Π.Δ. 86/2012 «Διορισμός Υπουργών, Αναπληρωτών και Υφυπουργών» Φ.Ε.Κ. Α’ 141).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Την με αριθμό ΥΠΟΙΚ 07927ΕΞ/19.9.2012 (ΦΕΚ 2574 Β’/24.09.2012) κοινή απόφαση του Πρωθυπουργού και του Υπουργού Οικονομικών με την οποία ανατίθενται αρμοδιότητες στον Υφυπουργό Οικονομικών Γεώργιο Μαυραγάνη.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Την ανάγκη διευκόλυνσης των διασταυρώσεων που διενεργεί το Υπουργείο για την πάταξη της φοροδιαφυγής και την επίτευξη φορολογικής συμμόρφωσης.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Ότι από τις διατάξεις της δεν προκαλείται δαπάνη σε βάρος του κρατικού προϋπολογισμού, αποφασίζουμε: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Για το είδος των υποβαλλόμενων στοιχείων και πληροφοριών, τον τρόπο και χρόνο υποβολής αυτών και κάθε άλλο σχετικό θέμα ορίζουμε τα ακόλουθα: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Έκταση εφαρμογής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1.1.</w:t>
      </w:r>
      <w:r>
        <w:rPr>
          <w:lang w:val="el" w:eastAsia="el"/>
        </w:rPr>
        <w:t xml:space="preserve"> Τα πιστωτικά ιδρύματα, συμπεριλαμβανομένων και των υποκαταστημάτων αλλοδαπών πιστωτικών ιδρυμάτων, καθώς και οι υπηρεσίες παροχής επενδυτικών υπηρεσιών, υποχρεούνται να διαβιβάζουν στη Γ.Γ.Π.Σ. καταστάσεις σε ηλεκτρονικό αρχείο, με τα στοιχεία των δικαιούχων-συνδικαιούχων (όνομα, επώνυμο και Α.Φ.Μ.), το ποσό των πιστωτικών και χρεωστικών τόκων καταθέσεων και repos που απέκτησαν κατά το προηγούμενο έτος, καθώς και το ποσό του φόρου που παρακρατήθηκε.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1.2.</w:t>
      </w:r>
      <w:r>
        <w:rPr>
          <w:lang w:val="el" w:eastAsia="el"/>
        </w:rPr>
        <w:t xml:space="preserve"> Για τους τόκους καταθέσεων σε νόμισμα διαφορετικό του ευρώ, ως ισοτιμία για τη μετατροπή τους σε ευρώ λαμβάνεται η τιμή της ημερομηνίας πίστωσης των τόκων σε συνάλλαγμα ή η τιμή spot του δελτίου τιμών συναλλάγματος της Ευρωπαϊκής Κεντρικής Τράπεζας της τελευταίας εργάσιμης ημέρας του έτους αναφοράς.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Τρόπος διαβίβασης στοιχείων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διαβίβαση στοιχείων θα γίνεται απευθείας στη Γ.Γ.Π.Σ. μέσω ασφαλούς συστήματος μεταφόρτωσης αρχείου. Οι προδιαγραφές του αρχείου, ο τρόπος διαβίβασης και το χρονοδιάγραμμα διαβίβασης αρχείων, θα αναρτηθούν έγκαιρα στην ιστοσελίδα της Γ.Γ.Π.Σ.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Χρόνος διαβίβασης και διατήρησης των στοιχείων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3.1.</w:t>
      </w:r>
      <w:r>
        <w:rPr>
          <w:lang w:val="el" w:eastAsia="el"/>
        </w:rPr>
        <w:t xml:space="preserve"> Η συχνότητα διαβίβασης των στοιχείων του άρθρου 1 είναι ετήσια και ως καταληκτική ημερομηνία ορίζεται η 28η Φεβρουαρίου του επόμενου έτους του έτους αναφοράς. Ειδικά για την πρώτη εφαρμογή, η αποστολή αρχείων των στοιχείων του άρθρου 1 θα γίνει έως και την 21.6.2013.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3.2.</w:t>
      </w:r>
      <w:r>
        <w:rPr>
          <w:lang w:val="el" w:eastAsia="el"/>
        </w:rPr>
        <w:t xml:space="preserve"> Οι φορείς διατηρούν τα στοιχεία που αποστέλλουν στη Γ.Γ.Π.Σ., στη μορφή με την οποία τα αποστέλλουν, για χρονικό διάστημα τουλάχιστον δεκαπέντε εργάσιμων ημερών.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3.3.</w:t>
      </w:r>
      <w:r>
        <w:rPr>
          <w:lang w:val="el" w:eastAsia="el"/>
        </w:rPr>
        <w:t xml:space="preserve"> Η Γ.Γ.Π.Σ. του Υπουργείου Οικονομικών θα διατηρεί τα ως άνω στοιχεία για χρονικό διάστημα έξι ετών.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Κυρώσεις μη διαβίβασηςκαι διατήρησης των στοιχείων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περίπτωση μη τήρησης των ανωτέρω υποχρεώσεων, εφαρμόζονται με απόφαση του Υπουργού Οικονομικών οι κυρώσεις που προβλέπονται στην παράγραφο 3 του άρθρου 4 του Ν. 2523/1997, έτσι όπως ισχύουν μετά την εφαρμογή των διατάξεων της παρ. 10 του άρθρου 21 του Ν. 3943/2011 (ΦΕΚ 66Α’).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ισχύει για τα στοιχεία της χρήσης 2012 και εφεξής.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17 Ιουνίου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ΜΑΥΡΑΓΑΝΗΣ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