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28 Ιουνίου 2013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ΓΕΝ.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ΦΟΡΟΛΟΓΙΑΣ ΚΕΦΑΛΑΙΟΥ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Φ.Μ.Α.Π.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ΓΕΝ. ΓΡΑΜΜΑΤΕΙΑ ΠΛΗΡΟΦΟΡΙΑΚΩΝ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ΣΥΣΤΗΜΑΤΩΝ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30Η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 Καρ. Σερβίας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Τηλέφωνο: 210 3375360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E-mail: </w:t>
      </w:r>
      <w:r>
        <w:rPr>
          <w:u w:val="single"/>
          <w:lang w:val="el" w:eastAsia="el"/>
        </w:rPr>
        <w:t>d13.etak@ yo.syzefxis.gov.gr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d13.e9 @yo.s yzefxis.gov.gr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Παράταση προθεσμίας υποβολής της δήλωσης στοιχείων ακινήτων φυσικών και νομικών προσώπων έτους 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23 του ν. 3427/2005 (ΦΕΚ 312 Α΄) και ειδικότερα την παράγραφο 3 του ιδίου άρθρου, με τις οποίες εξουσιοδοτείται ο Υπουργός Οικονομικών να παρατείνει την προθεσμία υποβολής της δήλωσης στοιχείων ακινήτων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του Πρωθυπουργού και του Υπουργού Οικονομικών YΠΟΙΚ 07927/2012 ΕΞ (ΦΕΚ 2574 Β΄),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γεγονός ότι η ηλεκτρονική εφαρμογή για την υποβολή της δήλωσης στοιχείων ακινήτων (Ε9) φυσικών και νομικών προσώπων, έτους 2013 δεν έχει τεθεί σε παραγωγική λειτουργία.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ηλεκτρονικής υποβολής της δήλωσης στοιχείων ακινήτων φυσικών προσώπων (Ε9) έτους 2013, παρατείνεται μέχρι και τη 15η Σεπτεμβρίου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προθεσμία ηλεκτρονικής υποβολής της δήλωσης στοιχείων ακινήτων νομικών προσώπων (Ε9) έτους 2013, παρατείνεται μέχρι και την 30ή Νοεμβρίου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ΑΠΟΔΕΚΤΕΣ ΓΙΑ ΕΝΕΡΓΕΙΑ: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τις Δημόσιες Οικονομικές Υπηρεσίες (</w:t>
      </w:r>
      <w:r>
        <w:rPr>
          <w:b/>
          <w:bCs/>
          <w:lang w:val="el" w:eastAsia="el"/>
        </w:rPr>
        <w:t>από 3 αντίτυπα στο τμήμα εισοδήματος</w:t>
      </w:r>
      <w:r>
        <w:rPr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Γ.Γ.Π.Σ. Δ/νση Εφαρμογών Η/Υ (Δ30) για ανάρτηση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Εθνικό Τυπογραφείο (για δημοσίευση στην Εφημερίδα της Κυβέρνησης)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ΑΠΟΔΕΚΤΕΣ ΓΙΑ ΚΟΙΝΟΠΟΙΗΣΗ: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(περιπτώσεις 2,3)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(περιπτώσεις 3,5,6)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ΣΤ΄ (περιπτώσεις 1,3)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Ζ΄ (περιπτώσεις 1, 2 &amp;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Η΄ (περιπτώσεις 1, 2,3,5,6,7,8 &amp; 9)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Θ΄ (περίπτωση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Ι΄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ΙΕ΄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Αποδέκτες Πίνακα ΙΣΤ΄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Αποδέκτες Πίνακα ΚΑ΄ (1 - 3)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Περιοδικό «Φορολογική Επιθεώρηση».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III. </w:t>
      </w:r>
      <w:r>
        <w:rPr>
          <w:b/>
          <w:bCs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κ. Ι. Στουρνάρα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κ. Γ. Μαυραγάνη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Γραμματέα Δημοσίων Εσόδων κ. Θ. Θεοχάρη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Γενικού Γραμματέα Πληροφοριακών Συστημάτων κ. Χ. Τσαλδάρη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Αναπληρωτή Γενικού Διευθυντή Φορολογίας κ. Γ. Κριτσέλη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Γραφείου Γενικού Διευθυντή ΚΕ.Π.Υ.Ο. κ. Π. Λαζαρίδη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Πληροφόρησης Πολιτών (3)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Εφαρμογών Η/Υ (Δ30)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Φορολογίας Κεφαλαίου – Τμήματα Α΄, Β΄ (από 3), Φ.Μ.Α.Π. (20)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