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 ΦΕΚ:</w:t>
      </w:r>
    </w:p>
    <w:p>
      <w:pPr>
        <w:pStyle w:val="PreambelText"/>
        <w:spacing w:before="240" w:after="240"/>
        <w:rPr>
          <w:lang w:val="el" w:eastAsia="el"/>
        </w:rPr>
      </w:pPr>
      <w:r>
        <w:rPr>
          <w:b/>
          <w:bCs/>
          <w:u w:val="single"/>
          <w:lang w:val="el" w:eastAsia="el"/>
        </w:rPr>
        <w:t>ΕΞΑΙΡΕΤΙΚΩΣ ΕΠΕΙΓΟΥΣΑ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Αθήνα, 18 Ιουλίου 2013</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 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ΦΟΡΟΛΟΓΙΑΣ Δ/ΝΣΗ ΦΟΡΟΛΟΓΙΑΣ ΕΙΣΟΔΗΜΑΤΟΣ (Δ12)</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ΓΕΝΙΚΗ ΔΙΕΥΘΥΝΣΗ ΦΟΡΟΛΟΓΙΚΩΝ ΕΛΕΓΧΩΝ &amp;</w:t>
      </w:r>
    </w:p>
    <w:p>
      <w:pPr>
        <w:spacing w:before="240" w:after="240"/>
        <w:rPr>
          <w:lang w:val="el" w:eastAsia="el"/>
        </w:rPr>
      </w:pPr>
      <w:r>
        <w:rPr>
          <w:b/>
          <w:bCs/>
          <w:lang w:val="el" w:eastAsia="el"/>
        </w:rPr>
        <w:t>ΕΙΣΠΡΑΞΗΣ ΔΗΜΟΣΙΩΝ ΕΣΟΔΩΝ</w:t>
      </w:r>
    </w:p>
    <w:p>
      <w:pPr>
        <w:spacing w:before="240" w:after="240"/>
        <w:rPr>
          <w:lang w:val="el" w:eastAsia="el"/>
        </w:rPr>
      </w:pPr>
      <w:r>
        <w:rPr>
          <w:b/>
          <w:bCs/>
          <w:lang w:val="el" w:eastAsia="el"/>
        </w:rPr>
        <w:t>Δ/ΝΣΗ ΕΛΕΓΧΩΝ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Β) ΓΕΝΙΚΗ ΓΡΑΜΜΑΤΕΙΑ ΠΛΗΡΟΦΟΡΙΑΚΩΝ</w:t>
      </w:r>
    </w:p>
    <w:p>
      <w:pPr>
        <w:spacing w:before="240" w:after="240"/>
        <w:rPr>
          <w:lang w:val="el" w:eastAsia="el"/>
        </w:rPr>
      </w:pPr>
      <w:r>
        <w:rPr>
          <w:b/>
          <w:bCs/>
          <w:lang w:val="el" w:eastAsia="el"/>
        </w:rPr>
        <w:t>ΣΥΣΤΗΜΑΤΩΝ (Γ.Γ.Π.Σ.)</w:t>
      </w:r>
    </w:p>
    <w:p>
      <w:pPr>
        <w:spacing w:before="240" w:after="240"/>
        <w:rPr>
          <w:lang w:val="el" w:eastAsia="el"/>
        </w:rPr>
      </w:pPr>
      <w:r>
        <w:rPr>
          <w:b/>
          <w:bCs/>
          <w:lang w:val="el" w:eastAsia="el"/>
        </w:rPr>
        <w:t>ΓΕΝΙΚΗ Δ/ΝΣΗ ΚΕ.Π.Υ.Ο.</w:t>
      </w:r>
    </w:p>
    <w:p>
      <w:pPr>
        <w:spacing w:before="240" w:after="240"/>
        <w:rPr>
          <w:lang w:val="el" w:eastAsia="el"/>
        </w:rPr>
      </w:pPr>
      <w:r>
        <w:rPr>
          <w:b/>
          <w:bCs/>
          <w:lang w:val="el" w:eastAsia="el"/>
        </w:rPr>
        <w:t>Δ/ΝΣΗ ΕΦΑΡΜΟΓΩΝ Η/Υ (Δ30)</w:t>
      </w:r>
    </w:p>
    <w:p>
      <w:pPr>
        <w:spacing w:before="240" w:after="240"/>
        <w:rPr>
          <w:lang w:val="el" w:eastAsia="el"/>
        </w:rPr>
      </w:pPr>
      <w:r>
        <w:rPr>
          <w:b/>
          <w:bCs/>
          <w:lang w:val="el" w:eastAsia="el"/>
        </w:rPr>
        <w:t>ΠΟΛ. 1179</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Κώδ.: </w:t>
      </w:r>
      <w:r>
        <w:rPr>
          <w:lang w:val="el" w:eastAsia="el"/>
        </w:rPr>
        <w:t xml:space="preserve">101 84 ΑΘΗΝΑ </w:t>
      </w:r>
      <w:r>
        <w:rPr>
          <w:b/>
          <w:bCs/>
          <w:lang w:val="el" w:eastAsia="el"/>
        </w:rPr>
        <w:t xml:space="preserve">ΠΡΟΣ: </w:t>
      </w:r>
      <w:r>
        <w:rPr>
          <w:lang w:val="el" w:eastAsia="el"/>
        </w:rPr>
        <w:t>ΑΠΟΔΕΚΤΕΣ Π.Δ.</w:t>
      </w:r>
    </w:p>
    <w:p>
      <w:pPr>
        <w:spacing w:before="240" w:after="240"/>
        <w:rPr>
          <w:lang w:val="el" w:eastAsia="el"/>
        </w:rPr>
      </w:pPr>
      <w:r>
        <w:rPr>
          <w:b/>
          <w:bCs/>
          <w:lang w:val="el" w:eastAsia="el"/>
        </w:rPr>
        <w:t xml:space="preserve">Πληροφορίες: </w:t>
      </w:r>
      <w:r>
        <w:rPr>
          <w:lang w:val="el" w:eastAsia="el"/>
        </w:rPr>
        <w:t>Κ. Καρακικέ, Α. Σιάκουλη</w:t>
      </w:r>
    </w:p>
    <w:p>
      <w:pPr>
        <w:spacing w:before="240" w:after="240"/>
        <w:rPr>
          <w:lang w:val="el" w:eastAsia="el"/>
        </w:rPr>
      </w:pPr>
      <w:r>
        <w:rPr>
          <w:b/>
          <w:bCs/>
          <w:lang w:val="el" w:eastAsia="el"/>
        </w:rPr>
        <w:t xml:space="preserve">Τηλέφωνο: </w:t>
      </w:r>
      <w:r>
        <w:rPr>
          <w:lang w:val="el" w:eastAsia="el"/>
        </w:rPr>
        <w:t>210 – 3375312, 3375219</w:t>
      </w:r>
    </w:p>
    <w:p>
      <w:pPr>
        <w:spacing w:before="240" w:after="240"/>
        <w:rPr>
          <w:lang w:val="el" w:eastAsia="el"/>
        </w:rPr>
      </w:pPr>
      <w:r>
        <w:rPr>
          <w:b/>
          <w:bCs/>
          <w:lang w:val="el" w:eastAsia="el"/>
        </w:rPr>
        <w:t xml:space="preserve">ΦΑΞ : </w:t>
      </w:r>
      <w:r>
        <w:rPr>
          <w:lang w:val="el" w:eastAsia="el"/>
        </w:rPr>
        <w:t>210 – 3375001, 3375028</w:t>
      </w:r>
    </w:p>
    <w:p>
      <w:pPr>
        <w:spacing w:before="240" w:after="240"/>
        <w:rPr>
          <w:lang w:val="el" w:eastAsia="el"/>
        </w:rPr>
      </w:pPr>
      <w:r>
        <w:rPr>
          <w:b/>
          <w:bCs/>
          <w:lang w:val="el" w:eastAsia="el"/>
        </w:rPr>
        <w:t>ΘΕΜΑ: Καθορισμός του υποχρεωτικού περιεχομένου του φακέλου τεκμηρίωσης, του περιεχομένου του συνοπτικού πίνακα πληροφοριών, της γλώσσας στην οποία τηρούνται οι ως άνω πληροφορίες, των μεθόδων, τρόπων και διαδικασιών προσδιορισμού των τιμών των συναλλαγών αυτών, της επικαιροποίησης του φακέλου τεκμηρίωσης, καθώς και κάθε άλλης αναγκαίας λεπτομέρειας για την εφαρμογή των διατάξεων του άρθρου 39Α του Κ.Φ.Ε.</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της παραγράφου 2 του άρθρου 39 του Κώδικα Φορολογίας Εισοδήματος, που κυρώθηκε με το ν. 2238/1994 (ΦΕΚ 151Α’), όπως ισχύουν μετά την τροποποίησή τους με την περίπτωση α’ της παραγράφου 3 του άρθρου 64 του ν.4170/2013 (ΦΕΚ 163Α’).</w:t>
      </w:r>
    </w:p>
    <w:p>
      <w:pPr>
        <w:pStyle w:val="StructureList1"/>
        <w:spacing w:before="120" w:after="0"/>
        <w:rPr>
          <w:lang w:val="el" w:eastAsia="el"/>
        </w:rPr>
      </w:pPr>
      <w:r>
        <w:rPr>
          <w:lang w:val="el" w:eastAsia="el"/>
        </w:rPr>
        <w:t>β)</w:t>
      </w:r>
      <w:r>
        <w:rPr>
          <w:lang w:val="en" w:eastAsia="en"/>
        </w:rPr>
        <w:tab/>
      </w:r>
      <w:r>
        <w:rPr>
          <w:b/>
          <w:bCs/>
          <w:lang w:val="el" w:eastAsia="el"/>
        </w:rPr>
        <w:t xml:space="preserve">Τις διατάξεις του άρθρου 39Α του Κώδικα Φορολογίας Εισοδήματος, όπως ισχύουν. </w:t>
      </w:r>
      <w:r>
        <w:rPr>
          <w:b/>
          <w:bCs/>
          <w:lang w:val="el" w:eastAsia="el"/>
        </w:rPr>
        <w:t xml:space="preserve">γ) </w:t>
      </w:r>
      <w:r>
        <w:rPr>
          <w:b/>
          <w:bCs/>
          <w:lang w:val="el" w:eastAsia="el"/>
        </w:rPr>
        <w:t>Τις διατάξεις της παραγράφου 17 του άρθρου 11 του ν.4110/2013 (ΦΕΚ 17Α’),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Την αριθ. ΥΠΟΙΚ 07927 ΕΞ2012 (ΦΕΚ 2574Β’/24.9.2012) κοινή απόφαση του Πρωθυπουργού «Ανάθεση Αρμοδιοτήτων στον Υφυπουργό Οικονομικών Γεώργιο Μαυραγάνη».</w:t>
      </w:r>
    </w:p>
    <w:p>
      <w:pPr>
        <w:pStyle w:val="StructureList1"/>
        <w:spacing w:before="120" w:after="0"/>
        <w:rPr>
          <w:lang w:val="el" w:eastAsia="el"/>
        </w:rPr>
      </w:pPr>
      <w:r>
        <w:rPr>
          <w:b/>
          <w:bCs/>
          <w:lang w:val="el" w:eastAsia="el"/>
        </w:rPr>
        <w:t>ε)</w:t>
      </w:r>
      <w:r>
        <w:rPr>
          <w:b/>
          <w:bCs/>
          <w:lang w:val="en" w:eastAsia="en"/>
        </w:rPr>
        <w:tab/>
      </w:r>
      <w:r>
        <w:rPr>
          <w:b/>
          <w:bCs/>
          <w:lang w:val="el" w:eastAsia="el"/>
        </w:rPr>
        <w:t>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2"/>
        <w:spacing w:before="240" w:after="240"/>
        <w:rPr>
          <w:lang w:val="el" w:eastAsia="el"/>
        </w:rPr>
      </w:pPr>
      <w:r>
        <w:rPr>
          <w:rStyle w:val="hierarchy-num"/>
          <w:b/>
          <w:bCs/>
          <w:lang w:val="el" w:eastAsia="el"/>
        </w:rPr>
        <w:t>ΚΕΦΑΛΑΙΟ Α’</w:t>
      </w:r>
    </w:p>
    <w:p>
      <w:pPr>
        <w:spacing w:before="240" w:after="240"/>
        <w:rPr>
          <w:lang w:val="el" w:eastAsia="el"/>
        </w:rPr>
      </w:pPr>
      <w:r>
        <w:rPr>
          <w:b/>
          <w:bCs/>
          <w:lang w:val="el" w:eastAsia="el"/>
        </w:rPr>
        <w:t>ΥΠΟΧΡΕΟΙ ΣΕ ΤΕΚΜΗΡΙΩΣΗ ΤΙΜΩΝ ΕΝΔΟΟΜΙΛΙΚΩΝ ΣΥΝΑΛΛΑΓΩΝ</w:t>
      </w:r>
    </w:p>
    <w:p>
      <w:pPr>
        <w:spacing w:before="240" w:after="240"/>
        <w:rPr>
          <w:lang w:val="el" w:eastAsia="el"/>
        </w:rPr>
      </w:pPr>
      <w:r>
        <w:rPr>
          <w:b/>
          <w:bCs/>
          <w:lang w:val="el" w:eastAsia="el"/>
        </w:rPr>
        <w:t>Ημεδαπές επιχειρήσεις, ανεξαρτήτως νομικής μορφής, που συνδέονται με άλλες επιχειρήσεις κατά την έννοια της παραγράφου 2 του άρθρου 39 του Κ.Φ.Ε., υποχρεούνται να τηρούν φάκελο τεκμηρίωσης τιμών των συναλλαγών τους με αυτές. Την ίδια υποχρέωση έχουν και οι μόνιμες εγκαταστάσεις αλλοδαπής επιχείρησης στην Ελλάδα για τις συναλλαγές τους με το κεντρικό και με τις συνδεδεμένες επιχειρήσεις του κεντρικού τους στην αλλοδαπή, καθώς και οι ημεδαπές επιχειρήσεις για τις συναλλαγές τους με μόνιμες εγκαταστάσεις τους στην αλλοδαπή.</w:t>
      </w:r>
    </w:p>
    <w:p>
      <w:pPr>
        <w:spacing w:before="240" w:after="240"/>
        <w:rPr>
          <w:lang w:val="el" w:eastAsia="el"/>
        </w:rPr>
      </w:pPr>
      <w:r>
        <w:rPr>
          <w:b/>
          <w:bCs/>
          <w:lang w:val="el" w:eastAsia="el"/>
        </w:rPr>
        <w:t>Σε περίπτωση που στη διάρκεια της διαχειριστικής περιόδου για την οποία καταρτίζεται ο φάκελος τεκμηρίωσης, ανεξάρτητες επιχειρήσεις καταστούν συνδεδεμένες κατά την έννοια της παραγράφου 2 του άρθρου 39 του Κ.Φ.Ε. η υποχρέωση τεκμηρίωσης υφίσταται για συναλλαγές που πραγματοποιήθηκαν από την ημερομηνία σύνδεσής τους και μετά. Σε περίπτωση διακοπής της σχέσης σύνδεσης στη διάρκεια της διαχειριστικής περιόδου, υποχρέωση τεκμηρίωσης υφίσταται για συναλλαγές που πραγματοποιήθηκαν μέχρι την ημερομηνία διακοπής της σχέσης, καθώς και για μεταγενέστερες συναλλαγές, για τις οποίες είχαν υπογραφεί σχετικές συμβάσεις κατά το χρονικό διάστημα που υφίστατο η σχέση σύνδεσης.</w:t>
      </w:r>
    </w:p>
    <w:p>
      <w:pPr>
        <w:spacing w:before="240" w:after="240"/>
        <w:rPr>
          <w:lang w:val="el" w:eastAsia="el"/>
        </w:rPr>
      </w:pPr>
      <w:r>
        <w:rPr>
          <w:b/>
          <w:bCs/>
          <w:lang w:val="el" w:eastAsia="el"/>
        </w:rPr>
        <w:t>Απαλλάσσονται από την υποχρέωση τεκμηρίωσης τιμών και της τήρησης σχετικού φακέλου, οι εμποροβιομηχανικές εταιρείες που έχουν εγκατασταθεί στην Ελλάδα με τις διατάξεις του α.ν.89/1967. Επίσης, από την υποχρέωση αυτή απαλλάσσονται οι επιχειρήσεις οι οποίες εντός της διαχειριστικής περιόδου πραγματοποίησαν συναλλαγές με μία ή περισσότερες συνδεδεμένες επιχειρήσεις, έως και εκατό χιλιάδες (100.000) ευρώ αθροιστικά, και με την προϋπόθεση ότι τα ακαθάριστα έσοδα για το σύνολο των συνδεδεμένων με τις οποίες πραγματοποίησαν συναλλαγές μέσα στην περίοδο αυτή δεν υπερβαίνουν τα πέντε εκατομμύρια (5.000.000) ευρώ. Σε περίπτωση που τα ακαθάριστα έσοδα για το σύνολο των συνδεδεμένων υπερβαίνουν τα πέντε εκατομμύρια 5.000.000 ευρώ, το πιο πάνω όριο ορίζεται στις διακόσιες χιλιάδες (200.000) ευρώ αθροιστικά.</w:t>
      </w:r>
    </w:p>
    <w:p>
      <w:pPr>
        <w:pStyle w:val="Heading2"/>
        <w:spacing w:before="240" w:after="240"/>
        <w:rPr>
          <w:lang w:val="el" w:eastAsia="el"/>
        </w:rPr>
      </w:pPr>
      <w:r>
        <w:rPr>
          <w:rStyle w:val="hierarchy-num"/>
          <w:b/>
          <w:bCs/>
          <w:lang w:val="el" w:eastAsia="el"/>
        </w:rPr>
        <w:t>ΚΕΦΑΛΑΙΟ Β’</w:t>
      </w:r>
    </w:p>
    <w:p>
      <w:pPr>
        <w:spacing w:before="240" w:after="240"/>
        <w:rPr>
          <w:lang w:val="el" w:eastAsia="el"/>
        </w:rPr>
      </w:pPr>
      <w:r>
        <w:rPr>
          <w:b/>
          <w:bCs/>
          <w:lang w:val="el" w:eastAsia="el"/>
        </w:rPr>
        <w:t>ΠΕΡΙΕΧΟΜΕΝΟ ΦΑΚΕΛΟY ΤΕΚΜΗΡΙΩΣΗΣ</w:t>
      </w:r>
    </w:p>
    <w:p>
      <w:pPr>
        <w:spacing w:before="240" w:after="240"/>
        <w:rPr>
          <w:lang w:val="el" w:eastAsia="el"/>
        </w:rPr>
      </w:pPr>
      <w:r>
        <w:rPr>
          <w:b/>
          <w:bCs/>
          <w:lang w:val="el" w:eastAsia="el"/>
        </w:rPr>
        <w:t>Σε περίπτωση ημεδαπής επιχείρησης η οποία είναι μέλος ομίλου, πολυεθνικού ή ημεδαπού, ο «φάκελος τεκμηρίωσης» αποτελείται από δύο μέρη, τον «βασικό φάκελο τεκμηρίωσης» και τον «ελληνικό φάκελο τεκμηρίωσης», ο οποίος συμπληρώνει τον «βασικό φάκελο» και περιέχει πρόσθετες πληροφορίες σχετικά με τις επιχειρήσεις-μέλη του ομίλου. Όταν ημεδαπή επιχείρηση πραγματοποιεί συναλλαγές με άλλες συνδεδεμένες επιχειρήσεις, ημεδαπές ή αλλοδαπές ή με μόνιμες εγκαταστάσεις της στην αλλοδαπή, καθώς και όταν μόνιμες εγκαταστάσεις αλλοδαπής επιχείρησης στην Ελλάδα πραγματοποιούν συναλλαγές με το κεντρικό ή με συνδεδεμένες επιχειρήσεις του κεντρικού τους στην αλλοδαπή, ο φάκελος τεκμηρίωσης αποτελείται μόνο από τον «ελληνικό φάκελο τεκμηρίωσης».</w:t>
      </w:r>
    </w:p>
    <w:p>
      <w:pPr>
        <w:spacing w:before="240" w:after="240"/>
        <w:rPr>
          <w:lang w:val="el" w:eastAsia="el"/>
        </w:rPr>
      </w:pPr>
      <w:r>
        <w:rPr>
          <w:b/>
          <w:bCs/>
          <w:lang w:val="el" w:eastAsia="el"/>
        </w:rPr>
        <w:t>α. Βασικός φάκελος τεκμηρίωσης</w:t>
      </w:r>
    </w:p>
    <w:p>
      <w:pPr>
        <w:spacing w:before="240" w:after="240"/>
        <w:rPr>
          <w:lang w:val="el" w:eastAsia="el"/>
        </w:rPr>
      </w:pPr>
      <w:r>
        <w:rPr>
          <w:b/>
          <w:bCs/>
          <w:lang w:val="el" w:eastAsia="el"/>
        </w:rPr>
        <w:t>Ο «βασικός φάκελος» είναι κοινός για όλες τις επιχειρήσεις του ομίλου και περιέχει κοινές τυποποιημένες πληροφορίες για αυτές και τις μόνιμες εγκαταστάσεις τους.</w:t>
      </w:r>
    </w:p>
    <w:p>
      <w:pPr>
        <w:spacing w:before="240" w:after="240"/>
        <w:rPr>
          <w:lang w:val="el" w:eastAsia="el"/>
        </w:rPr>
      </w:pPr>
      <w:r>
        <w:rPr>
          <w:b/>
          <w:bCs/>
          <w:lang w:val="el" w:eastAsia="el"/>
        </w:rPr>
        <w:t>Πιο αναλυτικά περιλαμβάνει τα εξής στοιχεία:</w:t>
      </w:r>
    </w:p>
    <w:p>
      <w:pPr>
        <w:pStyle w:val="StructureList1"/>
        <w:spacing w:before="120" w:after="0"/>
        <w:rPr>
          <w:lang w:val="el" w:eastAsia="el"/>
        </w:rPr>
      </w:pPr>
      <w:r>
        <w:rPr>
          <w:b/>
          <w:bCs/>
          <w:lang w:val="el" w:eastAsia="el"/>
        </w:rPr>
        <w:t>αα)</w:t>
      </w:r>
      <w:r>
        <w:rPr>
          <w:b/>
          <w:bCs/>
          <w:lang w:val="en" w:eastAsia="en"/>
        </w:rPr>
        <w:tab/>
      </w:r>
      <w:r>
        <w:rPr>
          <w:b/>
          <w:bCs/>
          <w:lang w:val="el" w:eastAsia="el"/>
        </w:rPr>
        <w:t>μια γενική περιγραφή της μητρικής επιχείρησης και της στρατηγικής της, συμπεριλαμβανομένων των αλλαγών που έγιναν σε σύγκριση με το προηγούμενο οικονομικό έτος,</w:t>
      </w:r>
    </w:p>
    <w:p>
      <w:pPr>
        <w:pStyle w:val="StructureList1"/>
        <w:spacing w:before="120" w:after="0"/>
        <w:rPr>
          <w:lang w:val="el" w:eastAsia="el"/>
        </w:rPr>
      </w:pPr>
      <w:r>
        <w:rPr>
          <w:b/>
          <w:bCs/>
          <w:lang w:val="el" w:eastAsia="el"/>
        </w:rPr>
        <w:t>ββ)</w:t>
      </w:r>
      <w:r>
        <w:rPr>
          <w:b/>
          <w:bCs/>
          <w:lang w:val="en" w:eastAsia="en"/>
        </w:rPr>
        <w:tab/>
      </w:r>
      <w:r>
        <w:rPr>
          <w:b/>
          <w:bCs/>
          <w:lang w:val="el" w:eastAsia="el"/>
        </w:rPr>
        <w:t>μια γενική περιγραφή της οργανωτικής, νομικής και λειτουργικής δομής του ομίλου που περιλαμβάνει το οργανόγραμμα, τον κατάλογο των μελών του ομίλου, συμπεριλαμβανομένων και των μόνιμων εγκαταστάσεων καθώς και περιγραφή της σχέσης σύνδεσης αυτών.</w:t>
      </w:r>
    </w:p>
    <w:p>
      <w:pPr>
        <w:pStyle w:val="StructureList1"/>
        <w:spacing w:before="120" w:after="0"/>
        <w:rPr>
          <w:lang w:val="el" w:eastAsia="el"/>
        </w:rPr>
      </w:pPr>
      <w:r>
        <w:rPr>
          <w:b/>
          <w:bCs/>
          <w:lang w:val="el" w:eastAsia="el"/>
        </w:rPr>
        <w:t>γγ)</w:t>
      </w:r>
      <w:r>
        <w:rPr>
          <w:b/>
          <w:bCs/>
          <w:lang w:val="en" w:eastAsia="en"/>
        </w:rPr>
        <w:tab/>
      </w:r>
      <w:r>
        <w:rPr>
          <w:b/>
          <w:bCs/>
          <w:lang w:val="el" w:eastAsia="el"/>
        </w:rPr>
        <w:t>μια γενική περιγραφή των συνδεδεμένων εταιρειών ή και των μονίμων εγκαταστάσεών τους που συμμετέχουν στις προς τεκμηρίωση συναλλαγές,</w:t>
      </w:r>
    </w:p>
    <w:p>
      <w:pPr>
        <w:pStyle w:val="StructureList1"/>
        <w:spacing w:before="120" w:after="0"/>
        <w:rPr>
          <w:lang w:val="el" w:eastAsia="el"/>
        </w:rPr>
      </w:pPr>
      <w:r>
        <w:rPr>
          <w:b/>
          <w:bCs/>
          <w:lang w:val="el" w:eastAsia="el"/>
        </w:rPr>
        <w:t>δδ)</w:t>
      </w:r>
      <w:r>
        <w:rPr>
          <w:b/>
          <w:bCs/>
          <w:lang w:val="en" w:eastAsia="en"/>
        </w:rPr>
        <w:tab/>
      </w:r>
      <w:r>
        <w:rPr>
          <w:b/>
          <w:bCs/>
          <w:lang w:val="el" w:eastAsia="el"/>
        </w:rPr>
        <w:t>μια γενική περιγραφή των προς τεκμηρίωση συναλλαγών στις οποίες συμμετέχουν οι συνδεδεμένες εταιρείες, ήτοι μια γενική περιγραφή:</w:t>
      </w:r>
    </w:p>
    <w:p>
      <w:pPr>
        <w:spacing w:before="240" w:after="240"/>
        <w:rPr>
          <w:lang w:val="el" w:eastAsia="el"/>
        </w:rPr>
      </w:pPr>
      <w:r>
        <w:rPr>
          <w:b/>
          <w:bCs/>
          <w:lang w:val="el" w:eastAsia="el"/>
        </w:rPr>
        <w:t>(i) της φύσης των συναλλαγών (πώληση αγαθών, παροχή υπηρεσιών, χρηματοοικονομικές συναλλαγές, άυλα περιουσιακά στοιχεία, κλπ.),</w:t>
      </w:r>
    </w:p>
    <w:p>
      <w:pPr>
        <w:spacing w:before="240" w:after="240"/>
        <w:rPr>
          <w:lang w:val="el" w:eastAsia="el"/>
        </w:rPr>
      </w:pPr>
      <w:r>
        <w:rPr>
          <w:b/>
          <w:bCs/>
          <w:lang w:val="el" w:eastAsia="el"/>
        </w:rPr>
        <w:t>(ii) της ροής των τιμολογίων και</w:t>
      </w:r>
    </w:p>
    <w:p>
      <w:pPr>
        <w:spacing w:before="240" w:after="240"/>
        <w:rPr>
          <w:lang w:val="el" w:eastAsia="el"/>
        </w:rPr>
      </w:pPr>
      <w:r>
        <w:rPr>
          <w:b/>
          <w:bCs/>
          <w:lang w:val="el" w:eastAsia="el"/>
        </w:rPr>
        <w:t>(iii) του ύψους των συναλλαγών</w:t>
      </w:r>
    </w:p>
    <w:p>
      <w:pPr>
        <w:pStyle w:val="StructureList1"/>
        <w:spacing w:before="120" w:after="0"/>
        <w:rPr>
          <w:lang w:val="el" w:eastAsia="el"/>
        </w:rPr>
      </w:pPr>
      <w:r>
        <w:rPr>
          <w:b/>
          <w:bCs/>
          <w:lang w:val="el" w:eastAsia="el"/>
        </w:rPr>
        <w:t>εε)</w:t>
      </w:r>
      <w:r>
        <w:rPr>
          <w:b/>
          <w:bCs/>
          <w:lang w:val="en" w:eastAsia="en"/>
        </w:rPr>
        <w:tab/>
      </w:r>
      <w:r>
        <w:rPr>
          <w:b/>
          <w:bCs/>
          <w:lang w:val="el" w:eastAsia="el"/>
        </w:rPr>
        <w:t>μια γενική περιγραφή των επιτελούμενων λειτουργιών, των κινδύνων που αντιμετωπίζονται, καθώς και των αλλαγών που μπορεί να επέρχονται στις λειτουργίες και στους κινδύνους σε σχέση με το προηγούμενο οικονομικό έτος.</w:t>
      </w:r>
    </w:p>
    <w:p>
      <w:pPr>
        <w:pStyle w:val="StructureList1"/>
        <w:spacing w:before="120" w:after="0"/>
        <w:rPr>
          <w:lang w:val="el" w:eastAsia="el"/>
        </w:rPr>
      </w:pPr>
      <w:r>
        <w:rPr>
          <w:b/>
          <w:bCs/>
          <w:lang w:val="el" w:eastAsia="el"/>
        </w:rPr>
        <w:t>στστ)</w:t>
      </w:r>
      <w:r>
        <w:rPr>
          <w:b/>
          <w:bCs/>
          <w:lang w:val="en" w:eastAsia="en"/>
        </w:rPr>
        <w:tab/>
      </w:r>
      <w:r>
        <w:rPr>
          <w:b/>
          <w:bCs/>
          <w:lang w:val="el" w:eastAsia="el"/>
        </w:rPr>
        <w:t>την ιδιοκτησία άυλων περιουσιακών στοιχείων των μελών του ομίλου (διπλώματα ευρεσιτεχνίας, εμπορικά σήματα, εμπορικές ονομασίες, τεχνογνωσία, κλπ.) και την πληρωμή ή είσπραξη δικαιωμάτων,</w:t>
      </w:r>
    </w:p>
    <w:p>
      <w:pPr>
        <w:pStyle w:val="StructureList1"/>
        <w:spacing w:before="120" w:after="0"/>
        <w:rPr>
          <w:lang w:val="el" w:eastAsia="el"/>
        </w:rPr>
      </w:pPr>
      <w:r>
        <w:rPr>
          <w:b/>
          <w:bCs/>
          <w:lang w:val="el" w:eastAsia="el"/>
        </w:rPr>
        <w:t>ζζ)</w:t>
      </w:r>
      <w:r>
        <w:rPr>
          <w:b/>
          <w:bCs/>
          <w:lang w:val="en" w:eastAsia="en"/>
        </w:rPr>
        <w:tab/>
      </w:r>
      <w:r>
        <w:rPr>
          <w:b/>
          <w:bCs/>
          <w:lang w:val="el" w:eastAsia="el"/>
        </w:rPr>
        <w:t>μια περιγραφή της τιμολογιακής πολιτικής του ομίλου που να επεξηγεί την τήρηση της αρχής της ανοιχτής αγοράς (Arm’s Length Principle) στις ενδοομιλικές συναλλαγές.</w:t>
      </w:r>
    </w:p>
    <w:p>
      <w:pPr>
        <w:pStyle w:val="StructureList1"/>
        <w:spacing w:before="120" w:after="0"/>
        <w:rPr>
          <w:lang w:val="el" w:eastAsia="el"/>
        </w:rPr>
      </w:pPr>
      <w:r>
        <w:rPr>
          <w:b/>
          <w:bCs/>
          <w:lang w:val="el" w:eastAsia="el"/>
        </w:rPr>
        <w:t>ηη)</w:t>
      </w:r>
      <w:r>
        <w:rPr>
          <w:b/>
          <w:bCs/>
          <w:lang w:val="en" w:eastAsia="en"/>
        </w:rPr>
        <w:tab/>
      </w:r>
      <w:r>
        <w:rPr>
          <w:b/>
          <w:bCs/>
          <w:lang w:val="el" w:eastAsia="el"/>
        </w:rPr>
        <w:t>κατάλογο συμφωνιών κατανομής κόστους, αποφάσεων προέγκρισης μεθοδολογίας ενδοομιλικής τιμολόγησης και δικαστικών αποφάσεων που αφορούν τα μέλη του ομίλου, σχετικά με τον καθορισμό των τιμών των συναλλαγών τους,</w:t>
      </w:r>
    </w:p>
    <w:p>
      <w:pPr>
        <w:spacing w:before="240" w:after="240"/>
        <w:rPr>
          <w:lang w:val="el" w:eastAsia="el"/>
        </w:rPr>
      </w:pPr>
      <w:r>
        <w:rPr>
          <w:b/>
          <w:bCs/>
          <w:lang w:val="el" w:eastAsia="el"/>
        </w:rPr>
        <w:t>β. Ελληνικός φάκελος τεκμηρίωσης</w:t>
      </w:r>
    </w:p>
    <w:p>
      <w:pPr>
        <w:spacing w:before="240" w:after="240"/>
        <w:rPr>
          <w:lang w:val="el" w:eastAsia="el"/>
        </w:rPr>
      </w:pPr>
      <w:r>
        <w:rPr>
          <w:b/>
          <w:bCs/>
          <w:lang w:val="el" w:eastAsia="el"/>
        </w:rPr>
        <w:t>Ο «ελληνικός φάκελος τεκμηρίωσης περιέχει τα ακόλουθα στοιχεία:</w:t>
      </w:r>
    </w:p>
    <w:p>
      <w:pPr>
        <w:pStyle w:val="StructureList1"/>
        <w:spacing w:before="120" w:after="0"/>
        <w:rPr>
          <w:lang w:val="el" w:eastAsia="el"/>
        </w:rPr>
      </w:pPr>
      <w:r>
        <w:rPr>
          <w:b/>
          <w:bCs/>
          <w:lang w:val="el" w:eastAsia="el"/>
        </w:rPr>
        <w:t>αα)</w:t>
      </w:r>
      <w:r>
        <w:rPr>
          <w:b/>
          <w:bCs/>
          <w:lang w:val="en" w:eastAsia="en"/>
        </w:rPr>
        <w:tab/>
      </w:r>
      <w:r>
        <w:rPr>
          <w:b/>
          <w:bCs/>
          <w:lang w:val="el" w:eastAsia="el"/>
        </w:rPr>
        <w:t>λεπτομερή περιγραφή της επιχείρησης και της στρατηγικής της, συμπεριλαμβανομένων των αλλαγών που έγιναν σε σύγκριση με το προηγούμενο οικονομικό έτος,</w:t>
      </w:r>
    </w:p>
    <w:p>
      <w:pPr>
        <w:pStyle w:val="StructureList1"/>
        <w:spacing w:before="120" w:after="0"/>
        <w:rPr>
          <w:lang w:val="el" w:eastAsia="el"/>
        </w:rPr>
      </w:pPr>
      <w:r>
        <w:rPr>
          <w:b/>
          <w:bCs/>
          <w:lang w:val="el" w:eastAsia="el"/>
        </w:rPr>
        <w:t>ββ)</w:t>
      </w:r>
      <w:r>
        <w:rPr>
          <w:b/>
          <w:bCs/>
          <w:lang w:val="en" w:eastAsia="en"/>
        </w:rPr>
        <w:tab/>
      </w:r>
      <w:r>
        <w:rPr>
          <w:b/>
          <w:bCs/>
          <w:lang w:val="el" w:eastAsia="el"/>
        </w:rPr>
        <w:t>λεπτομερή περιγραφή των προς τεκμηρίωση συναλλαγών η οποία περιλαμβάνει:</w:t>
      </w:r>
    </w:p>
    <w:p>
      <w:pPr>
        <w:pStyle w:val="StructureList1"/>
        <w:spacing w:before="120" w:after="0"/>
        <w:rPr>
          <w:lang w:val="el" w:eastAsia="el"/>
        </w:rPr>
      </w:pPr>
      <w:r>
        <w:rPr>
          <w:b/>
          <w:bCs/>
          <w:lang w:val="el" w:eastAsia="el"/>
        </w:rPr>
        <w:t>i)</w:t>
      </w:r>
      <w:r>
        <w:rPr>
          <w:b/>
          <w:bCs/>
          <w:lang w:val="en" w:eastAsia="en"/>
        </w:rPr>
        <w:tab/>
      </w:r>
      <w:r>
        <w:rPr>
          <w:b/>
          <w:bCs/>
          <w:lang w:val="el" w:eastAsia="el"/>
        </w:rPr>
        <w:t>τη φύση των συναλλαγών (πώληση αγαθών, παροχή υπηρεσιών, χρηματοοικονομικές συναλλαγές, άυλα περιουσιακά στοιχεία, κλπ.),</w:t>
      </w:r>
    </w:p>
    <w:p>
      <w:pPr>
        <w:pStyle w:val="StructureList1"/>
        <w:spacing w:before="120" w:after="0"/>
        <w:rPr>
          <w:lang w:val="el" w:eastAsia="el"/>
        </w:rPr>
      </w:pPr>
      <w:r>
        <w:rPr>
          <w:b/>
          <w:bCs/>
          <w:lang w:val="el" w:eastAsia="el"/>
        </w:rPr>
        <w:t>ii)</w:t>
      </w:r>
      <w:r>
        <w:rPr>
          <w:b/>
          <w:bCs/>
          <w:lang w:val="en" w:eastAsia="en"/>
        </w:rPr>
        <w:tab/>
      </w:r>
      <w:r>
        <w:rPr>
          <w:b/>
          <w:bCs/>
          <w:lang w:val="el" w:eastAsia="el"/>
        </w:rPr>
        <w:t>τη ροή των τιμολογίων και</w:t>
      </w:r>
    </w:p>
    <w:p>
      <w:pPr>
        <w:pStyle w:val="StructureList1"/>
        <w:spacing w:before="120" w:after="0"/>
        <w:rPr>
          <w:lang w:val="el" w:eastAsia="el"/>
        </w:rPr>
      </w:pPr>
      <w:r>
        <w:rPr>
          <w:b/>
          <w:bCs/>
          <w:lang w:val="el" w:eastAsia="el"/>
        </w:rPr>
        <w:t>iii)</w:t>
      </w:r>
      <w:r>
        <w:rPr>
          <w:b/>
          <w:bCs/>
          <w:lang w:val="en" w:eastAsia="en"/>
        </w:rPr>
        <w:tab/>
      </w:r>
      <w:r>
        <w:rPr>
          <w:b/>
          <w:bCs/>
          <w:lang w:val="el" w:eastAsia="el"/>
        </w:rPr>
        <w:t>το ύψος των συναλλαγών</w:t>
      </w:r>
    </w:p>
    <w:p>
      <w:pPr>
        <w:pStyle w:val="StructureList1"/>
        <w:spacing w:before="120" w:after="0"/>
        <w:rPr>
          <w:lang w:val="el" w:eastAsia="el"/>
        </w:rPr>
      </w:pPr>
      <w:r>
        <w:rPr>
          <w:b/>
          <w:bCs/>
          <w:lang w:val="el" w:eastAsia="el"/>
        </w:rPr>
        <w:t>γγ)</w:t>
      </w:r>
      <w:r>
        <w:rPr>
          <w:b/>
          <w:bCs/>
          <w:lang w:val="en" w:eastAsia="en"/>
        </w:rPr>
        <w:tab/>
      </w:r>
      <w:r>
        <w:rPr>
          <w:b/>
          <w:bCs/>
          <w:lang w:val="el" w:eastAsia="el"/>
        </w:rPr>
        <w:t>συγκριτική ανάλυση, ήτοι:</w:t>
      </w:r>
    </w:p>
    <w:p>
      <w:pPr>
        <w:pStyle w:val="StructureList1"/>
        <w:spacing w:before="120" w:after="0"/>
        <w:rPr>
          <w:lang w:val="el" w:eastAsia="el"/>
        </w:rPr>
      </w:pPr>
      <w:r>
        <w:rPr>
          <w:b/>
          <w:bCs/>
          <w:lang w:val="el" w:eastAsia="el"/>
        </w:rPr>
        <w:t>i)</w:t>
      </w:r>
      <w:r>
        <w:rPr>
          <w:b/>
          <w:bCs/>
          <w:lang w:val="en" w:eastAsia="en"/>
        </w:rPr>
        <w:tab/>
      </w:r>
      <w:r>
        <w:rPr>
          <w:b/>
          <w:bCs/>
          <w:lang w:val="el" w:eastAsia="el"/>
        </w:rPr>
        <w:t>χαρακτηριστικά των περιουσιακών στοιχείων και των υπηρεσιών, καθώς και συναφείς πληροφορίες σχετικά με εσωτερικά και/ή εξωτερικά συγκριτικά στοιχεία, εφόσον διατίθενται</w:t>
      </w:r>
    </w:p>
    <w:p>
      <w:pPr>
        <w:pStyle w:val="StructureList1"/>
        <w:spacing w:before="120" w:after="0"/>
        <w:rPr>
          <w:lang w:val="el" w:eastAsia="el"/>
        </w:rPr>
      </w:pPr>
      <w:r>
        <w:rPr>
          <w:b/>
          <w:bCs/>
          <w:lang w:val="el" w:eastAsia="el"/>
        </w:rPr>
        <w:t>ii)</w:t>
      </w:r>
      <w:r>
        <w:rPr>
          <w:b/>
          <w:bCs/>
          <w:lang w:val="en" w:eastAsia="en"/>
        </w:rPr>
        <w:tab/>
      </w:r>
      <w:r>
        <w:rPr>
          <w:b/>
          <w:bCs/>
          <w:lang w:val="el" w:eastAsia="el"/>
        </w:rPr>
        <w:t>λειτουργική ανάλυση (επιτελούμενες λειτουργίες, περιουσιακά στοιχεία που χρησιμοποιούνται, επιχειρηματικοί κίνδυνοι),</w:t>
      </w:r>
    </w:p>
    <w:p>
      <w:pPr>
        <w:pStyle w:val="StructureList1"/>
        <w:spacing w:before="120" w:after="0"/>
        <w:rPr>
          <w:lang w:val="el" w:eastAsia="el"/>
        </w:rPr>
      </w:pPr>
      <w:r>
        <w:rPr>
          <w:b/>
          <w:bCs/>
          <w:lang w:val="el" w:eastAsia="el"/>
        </w:rPr>
        <w:t>iii)</w:t>
      </w:r>
      <w:r>
        <w:rPr>
          <w:b/>
          <w:bCs/>
          <w:lang w:val="en" w:eastAsia="en"/>
        </w:rPr>
        <w:tab/>
      </w:r>
      <w:r>
        <w:rPr>
          <w:b/>
          <w:bCs/>
          <w:lang w:val="el" w:eastAsia="el"/>
        </w:rPr>
        <w:t>συμβατικοί όροι,</w:t>
      </w:r>
    </w:p>
    <w:p>
      <w:pPr>
        <w:pStyle w:val="StructureList1"/>
        <w:spacing w:before="120" w:after="0"/>
        <w:rPr>
          <w:lang w:val="el" w:eastAsia="el"/>
        </w:rPr>
      </w:pPr>
      <w:r>
        <w:rPr>
          <w:b/>
          <w:bCs/>
          <w:lang w:val="el" w:eastAsia="el"/>
        </w:rPr>
        <w:t>iv)</w:t>
      </w:r>
      <w:r>
        <w:rPr>
          <w:b/>
          <w:bCs/>
          <w:lang w:val="en" w:eastAsia="en"/>
        </w:rPr>
        <w:tab/>
      </w:r>
      <w:r>
        <w:rPr>
          <w:b/>
          <w:bCs/>
          <w:lang w:val="el" w:eastAsia="el"/>
        </w:rPr>
        <w:t>οικονομικές συνθήκες και</w:t>
      </w:r>
    </w:p>
    <w:p>
      <w:pPr>
        <w:pStyle w:val="StructureList1"/>
        <w:spacing w:before="120" w:after="0"/>
        <w:rPr>
          <w:lang w:val="el" w:eastAsia="el"/>
        </w:rPr>
      </w:pPr>
      <w:r>
        <w:rPr>
          <w:b/>
          <w:bCs/>
          <w:lang w:val="el" w:eastAsia="el"/>
        </w:rPr>
        <w:t>v)</w:t>
      </w:r>
      <w:r>
        <w:rPr>
          <w:b/>
          <w:bCs/>
          <w:lang w:val="en" w:eastAsia="en"/>
        </w:rPr>
        <w:tab/>
      </w:r>
      <w:r>
        <w:rPr>
          <w:b/>
          <w:bCs/>
          <w:lang w:val="el" w:eastAsia="el"/>
        </w:rPr>
        <w:t>ειδικές στρατηγικές της επιχείρησης,</w:t>
      </w:r>
    </w:p>
    <w:p>
      <w:pPr>
        <w:pStyle w:val="StructureList1"/>
        <w:spacing w:before="120" w:after="0"/>
        <w:rPr>
          <w:lang w:val="el" w:eastAsia="el"/>
        </w:rPr>
      </w:pPr>
      <w:r>
        <w:rPr>
          <w:b/>
          <w:bCs/>
          <w:lang w:val="el" w:eastAsia="el"/>
        </w:rPr>
        <w:t>δδ)</w:t>
      </w:r>
      <w:r>
        <w:rPr>
          <w:b/>
          <w:bCs/>
          <w:lang w:val="en" w:eastAsia="en"/>
        </w:rPr>
        <w:tab/>
      </w:r>
      <w:r>
        <w:rPr>
          <w:b/>
          <w:bCs/>
          <w:lang w:val="el" w:eastAsia="el"/>
        </w:rPr>
        <w:t>επεξήγηση για την επιλογή και την εφαρμογή της/των μεθόδου/ων προσδιορισμού των τιμών των ενδοομιλικών συναλλαγών.</w:t>
      </w:r>
    </w:p>
    <w:p>
      <w:pPr>
        <w:pStyle w:val="Heading2"/>
        <w:spacing w:before="240" w:after="240"/>
        <w:rPr>
          <w:lang w:val="el" w:eastAsia="el"/>
        </w:rPr>
      </w:pPr>
      <w:r>
        <w:rPr>
          <w:rStyle w:val="hierarchy-num"/>
          <w:b/>
          <w:bCs/>
          <w:lang w:val="el" w:eastAsia="el"/>
        </w:rPr>
        <w:t>ΚΕΦΑΛΑΙΟ Γ’</w:t>
      </w:r>
    </w:p>
    <w:p>
      <w:pPr>
        <w:spacing w:before="240" w:after="240"/>
        <w:rPr>
          <w:lang w:val="el" w:eastAsia="el"/>
        </w:rPr>
      </w:pPr>
      <w:r>
        <w:rPr>
          <w:b/>
          <w:bCs/>
          <w:lang w:val="el" w:eastAsia="el"/>
        </w:rPr>
        <w:t>ΓΛΩΣΣΑ ΤΗΡΗΣΗΣ ΦΑΚΕΛΟY ΤΕΚΜΗΡΙΩΣΗΣ</w:t>
      </w:r>
    </w:p>
    <w:p>
      <w:pPr>
        <w:spacing w:before="240" w:after="240"/>
        <w:rPr>
          <w:lang w:val="el" w:eastAsia="el"/>
        </w:rPr>
      </w:pPr>
      <w:r>
        <w:rPr>
          <w:b/>
          <w:bCs/>
          <w:lang w:val="el" w:eastAsia="el"/>
        </w:rPr>
        <w:t>Τα στοιχεία του «βασικού φακέλου τεκμηρίωσης» τηρούνται σε γλώσσα διεθνώς αποδεκτή, κατά προτίμηση την αγγλική, όταν πρόκειται για αλλοδαπό όμιλο, με υποχρέωση μετάφρασής του στην ελληνική γλώσσα εφόσον ζητηθεί από την φορολογική αρχή, εντός ευλόγου χρονικού διαστήματος και όχι πέραν των τριάντα (30) ημερών από την επίδοση σχετικής πρόσκλησης. Σε όλες τις λοιπές περιπτώσεις τα στοιχεία του φακέλου τεκμηρίωσης τηρούνται στην ελληνική γλώσσα.</w:t>
      </w:r>
    </w:p>
    <w:p>
      <w:pPr>
        <w:spacing w:before="240" w:after="240"/>
        <w:rPr>
          <w:lang w:val="el" w:eastAsia="el"/>
        </w:rPr>
      </w:pPr>
      <w:r>
        <w:rPr>
          <w:b/>
          <w:bCs/>
          <w:lang w:val="el" w:eastAsia="el"/>
        </w:rPr>
        <w:t>Ο φάκελος τεκμηρίωσης τηρείται είτε σε έντυπη, είτε σε ηλεκτρονική μορφή.</w:t>
      </w:r>
    </w:p>
    <w:p>
      <w:pPr>
        <w:pStyle w:val="Heading2"/>
        <w:spacing w:before="240" w:after="240"/>
        <w:rPr>
          <w:lang w:val="el" w:eastAsia="el"/>
        </w:rPr>
      </w:pPr>
      <w:r>
        <w:rPr>
          <w:rStyle w:val="hierarchy-num"/>
          <w:b/>
          <w:bCs/>
          <w:lang w:val="el" w:eastAsia="el"/>
        </w:rPr>
        <w:t>ΚΕΦΑΛΑΙΟ Δ’</w:t>
      </w:r>
    </w:p>
    <w:p>
      <w:pPr>
        <w:spacing w:before="240" w:after="240"/>
        <w:rPr>
          <w:lang w:val="el" w:eastAsia="el"/>
        </w:rPr>
      </w:pPr>
      <w:r>
        <w:rPr>
          <w:b/>
          <w:bCs/>
          <w:lang w:val="el" w:eastAsia="el"/>
        </w:rPr>
        <w:t>ΠΕΡΙΕΧΟΜΕΝΟ ΣΥΝΟΠΤΙΚΟΥ ΠΙΝΑΚΑ ΠΛΗΡΟΦΟΡΙΩΝ</w:t>
      </w:r>
    </w:p>
    <w:p>
      <w:pPr>
        <w:spacing w:before="240" w:after="240"/>
        <w:rPr>
          <w:lang w:val="el" w:eastAsia="el"/>
        </w:rPr>
      </w:pPr>
      <w:r>
        <w:rPr>
          <w:b/>
          <w:bCs/>
          <w:lang w:val="el" w:eastAsia="el"/>
        </w:rPr>
        <w:t>Ο συνοπτικός πίνακας πληροφοριών υποβάλλεται ηλεκτρονικά στην Γενική Γραμματεία Πληροφοριακών Συστημάτων του Υπουργείου Οικονομικών πριν την έκδοση του φορολογικού πιστοποιητικού της παραγράφου 5 του άρθρου 82 του Κ.Φ.Ε. και σε κάθε περίπτωση εντός πενήντα (50) ημερών από την ημερομηνία κλεισίματος της διαχειριστικής περιόδου, για χρήσεις που αρχίζουν από την 1</w:t>
      </w:r>
      <w:r>
        <w:rPr>
          <w:b/>
          <w:bCs/>
          <w:sz w:val="30"/>
          <w:szCs w:val="30"/>
          <w:vertAlign w:val="superscript"/>
          <w:lang w:val="el" w:eastAsia="el"/>
        </w:rPr>
        <w:t>η</w:t>
      </w:r>
      <w:r>
        <w:rPr>
          <w:b/>
          <w:bCs/>
          <w:lang w:val="el" w:eastAsia="el"/>
        </w:rPr>
        <w:t xml:space="preserve"> Ιανουαρίου 2012 και μετά.</w:t>
      </w:r>
    </w:p>
    <w:p>
      <w:pPr>
        <w:spacing w:before="240" w:after="240"/>
        <w:rPr>
          <w:lang w:val="el" w:eastAsia="el"/>
        </w:rPr>
      </w:pPr>
      <w:r>
        <w:rPr>
          <w:b/>
          <w:bCs/>
          <w:lang w:val="el" w:eastAsia="el"/>
        </w:rPr>
        <w:t>Ο συνοπτικός πίνακας πληροφοριών είναι συνοδευτικός του φακέλου τεκμηρίωσης και υποβάλλεται προκειμένου να αξιοποιηθούν φορολογικά οι παρεχόμενες πληροφορίες.</w:t>
      </w:r>
    </w:p>
    <w:p>
      <w:pPr>
        <w:spacing w:before="240" w:after="240"/>
        <w:rPr>
          <w:lang w:val="el" w:eastAsia="el"/>
        </w:rPr>
      </w:pPr>
      <w:r>
        <w:rPr>
          <w:b/>
          <w:bCs/>
          <w:lang w:val="el" w:eastAsia="el"/>
        </w:rPr>
        <w:t>Σε καμία περίπτωση ο συνοπτικός πίνακας πληροφοριών δεν πρέπει να εκλαμβάνεται ως πλήρης και εκτενής τεκμηρίωση των ενδοομιλικών συναλλαγών προκειμένου να κριθεί ως απόδειξη για την συμβατότητα των τελευταίων με την έννοια της παρ.1 του άρθρου 39 του Κ.Φ.Ε. («αρχή της ανοιχτής αγοράς ή της ελεύθερης αγοράς ή των ίσων αποστάσεων-Arm’s Length Principle»).</w:t>
      </w:r>
    </w:p>
    <w:p>
      <w:pPr>
        <w:spacing w:before="240" w:after="240"/>
        <w:rPr>
          <w:lang w:val="el" w:eastAsia="el"/>
        </w:rPr>
      </w:pPr>
      <w:r>
        <w:rPr>
          <w:b/>
          <w:bCs/>
          <w:lang w:val="el" w:eastAsia="el"/>
        </w:rPr>
        <w:t>Ο συνοπτικός πίνακας πληροφοριών υποβάλλεται με βάση το υπόδειγμα, το οποίο επισυνάπτεται ως παράρτημα της παρούσας.</w:t>
      </w:r>
    </w:p>
    <w:p>
      <w:pPr>
        <w:pStyle w:val="Heading2"/>
        <w:spacing w:before="240" w:after="240"/>
        <w:rPr>
          <w:lang w:val="el" w:eastAsia="el"/>
        </w:rPr>
      </w:pPr>
      <w:r>
        <w:rPr>
          <w:rStyle w:val="hierarchy-num"/>
          <w:b/>
          <w:bCs/>
          <w:lang w:val="el" w:eastAsia="el"/>
        </w:rPr>
        <w:t>ΚΕΦΑΛΑΙΟ Ε’</w:t>
      </w:r>
    </w:p>
    <w:p>
      <w:pPr>
        <w:spacing w:before="240" w:after="240"/>
        <w:rPr>
          <w:lang w:val="el" w:eastAsia="el"/>
        </w:rPr>
      </w:pPr>
      <w:r>
        <w:rPr>
          <w:b/>
          <w:bCs/>
          <w:lang w:val="el" w:eastAsia="el"/>
        </w:rPr>
        <w:t>ΕΠΙΚΑΙΡΟΠΟΙΗΣΗ ΤΟΥ ΦΑΚΕΛΟΥ ΤΕΚΜΗΡΙΩΣΗΣ</w:t>
      </w:r>
    </w:p>
    <w:p>
      <w:pPr>
        <w:spacing w:before="240" w:after="240"/>
        <w:rPr>
          <w:lang w:val="el" w:eastAsia="el"/>
        </w:rPr>
      </w:pPr>
      <w:r>
        <w:rPr>
          <w:b/>
          <w:bCs/>
          <w:lang w:val="el" w:eastAsia="el"/>
        </w:rPr>
        <w:t>Με δεδομένο ότι ο φάκελος τεκμηρίωσης καταρτίζεται μετά τη λήξη της διαχειριστικής περιόδου δεν τίθεται θέμα επικαιροποίησης αυτού για αλλαγές που έγιναν μέσα στην ίδια διαχειριστική περίοδο. Ο φάκελος καταρτίζεται για κάθε διαχειριστική περίοδο και περιλαμβάνει όλες τις πληροφορίες που αναφέρονται στο κεφάλαιο Β’.</w:t>
      </w:r>
    </w:p>
    <w:p>
      <w:pPr>
        <w:pStyle w:val="Heading2"/>
        <w:spacing w:before="240" w:after="240"/>
        <w:rPr>
          <w:lang w:val="el" w:eastAsia="el"/>
        </w:rPr>
      </w:pPr>
      <w:r>
        <w:rPr>
          <w:rStyle w:val="hierarchy-num"/>
          <w:b/>
          <w:bCs/>
          <w:lang w:val="el" w:eastAsia="el"/>
        </w:rPr>
        <w:t>ΚΕΦΑΛΑΙΟ ΣΤ’</w:t>
      </w:r>
    </w:p>
    <w:p>
      <w:pPr>
        <w:spacing w:before="240" w:after="240"/>
        <w:rPr>
          <w:lang w:val="el" w:eastAsia="el"/>
        </w:rPr>
      </w:pPr>
      <w:r>
        <w:rPr>
          <w:b/>
          <w:bCs/>
          <w:lang w:val="el" w:eastAsia="el"/>
        </w:rPr>
        <w:t>ΜΕΘΟΔΟΙ ΠΡΟΣΔΙΟΡΙΣΜΟΥ ΤΩΝ ΤΙΜΩΝ ΤΩΝ ΕΝΔΟΟΜΙΛΙΚΩΝ ΣΥΝΑΛΛΑΓΩΝ</w:t>
      </w:r>
    </w:p>
    <w:p>
      <w:pPr>
        <w:spacing w:before="240" w:after="240"/>
        <w:rPr>
          <w:lang w:val="el" w:eastAsia="el"/>
        </w:rPr>
      </w:pPr>
      <w:r>
        <w:rPr>
          <w:b/>
          <w:bCs/>
          <w:lang w:val="el" w:eastAsia="el"/>
        </w:rPr>
        <w:t>Για τον προσδιορισμό των τιμών των ενδοομιλικών συναλλαγών χρησιμοποιείται η «αρχή της ανοικτής αγοράς ή της ελεύθερης αγοράς ή των ίσων αποστάσεων (Arm’s Length Principle)», όπως περιγράφεται στο πρώτο εδάφιο της παραγράφου 1 του άρθρου 39 του ν. 2238/1994. Η αρχή αυτή αποτυπώνεται στην παράγραφο 1 του άρθρου 9 του Προτύπου Φορολογικών Συμβάσεων Εισοδήματος και Κεφαλαίου του ΟΟΣΑ (OECD Model Tax Convention on Income and Capital) και έχει ως ακολούθως:</w:t>
      </w:r>
    </w:p>
    <w:p>
      <w:pPr>
        <w:spacing w:before="240" w:after="240"/>
        <w:rPr>
          <w:lang w:val="el" w:eastAsia="el"/>
        </w:rPr>
      </w:pPr>
      <w:r>
        <w:rPr>
          <w:b/>
          <w:bCs/>
          <w:lang w:val="el" w:eastAsia="el"/>
        </w:rPr>
        <w:t>«Εάν επικρατούν ή επιβάλλονται στις εμπορικές ή οικονομικές σχέσεις των δύο (συνδεδεμένων) επιχειρήσεων όροι διαφορετικοί από εκείνους που θα επικρατούσαν μεταξύ ανεξάρτητων επιχειρήσεων, τότε τα κέρδη τα οποία, αν δεν υπήρχαν οι όροι αυτοί, θα μπορούσαν να είχαν πραγματοποιηθεί από μια από τις επιχειρήσεις, αλλά λόγω αυτών των όρων δεν πραγματοποιήθηκαν, μπορούν να συμπεριληφθούν στα κέρδη της επιχείρησης αυτής και να φορολογηθούν ανάλογα.»</w:t>
      </w:r>
    </w:p>
    <w:p>
      <w:pPr>
        <w:spacing w:before="240" w:after="240"/>
        <w:rPr>
          <w:lang w:val="el" w:eastAsia="el"/>
        </w:rPr>
      </w:pPr>
      <w:r>
        <w:rPr>
          <w:b/>
          <w:bCs/>
          <w:lang w:val="el" w:eastAsia="el"/>
        </w:rPr>
        <w:t>Για την διαπίστωση εφαρμογής της παραπάνω αρχής, λαμβάνονται υπόψη, σύμφωνα με την παρ. 5 του άρθρου 39 του Κ.Φ.Ε., οι «Κατευθυντήριες Οδηγίες του ΟΟΣΑ περί Ενδοομιλικών Τιμολογήσεων για τις Πολυεθνικές Επιχειρήσεις και τις Φορολογικές Αρχές (OECD Transfer Pricing Guidelines for Tax Administrations and Multinational Enterprises)», όπως κάθε φορά επικαιροποιούνται (τελευταία επικαιροποιημένη έκδοση 2010).</w:t>
      </w:r>
    </w:p>
    <w:p>
      <w:pPr>
        <w:spacing w:before="240" w:after="240"/>
        <w:rPr>
          <w:lang w:val="el" w:eastAsia="el"/>
        </w:rPr>
      </w:pPr>
      <w:r>
        <w:rPr>
          <w:b/>
          <w:bCs/>
          <w:lang w:val="el" w:eastAsia="el"/>
        </w:rPr>
        <w:t>Σύμφωνα με τις οδηγίες αυτές, οι μέθοδοι διακρίνονται ανάλογα με τη λειτουργία που επιτελούν ως ακολούθως:</w:t>
      </w:r>
    </w:p>
    <w:p>
      <w:pPr>
        <w:spacing w:before="240" w:after="240"/>
        <w:rPr>
          <w:lang w:val="el" w:eastAsia="el"/>
        </w:rPr>
      </w:pPr>
      <w:r>
        <w:rPr>
          <w:b/>
          <w:bCs/>
          <w:lang w:val="el" w:eastAsia="el"/>
        </w:rPr>
        <w:t xml:space="preserve">α. </w:t>
      </w:r>
      <w:r>
        <w:rPr>
          <w:b/>
          <w:bCs/>
          <w:lang w:val="el" w:eastAsia="el"/>
        </w:rPr>
        <w:t>Στις παραδοσιακές ή κλασσικές μεθόδους:</w:t>
      </w:r>
    </w:p>
    <w:p>
      <w:pPr>
        <w:spacing w:before="240" w:after="240"/>
        <w:rPr>
          <w:lang w:val="el" w:eastAsia="el"/>
        </w:rPr>
      </w:pPr>
      <w:r>
        <w:rPr>
          <w:b/>
          <w:bCs/>
          <w:lang w:val="el" w:eastAsia="el"/>
        </w:rPr>
        <w:t>αα. Μέθοδος της συγκρίσιμης μη ελεγχόμενης τιμής,</w:t>
      </w:r>
    </w:p>
    <w:p>
      <w:pPr>
        <w:spacing w:before="240" w:after="240"/>
        <w:rPr>
          <w:lang w:val="el" w:eastAsia="el"/>
        </w:rPr>
      </w:pPr>
      <w:r>
        <w:rPr>
          <w:b/>
          <w:bCs/>
          <w:lang w:val="el" w:eastAsia="el"/>
        </w:rPr>
        <w:t>ββ. Μέθοδος της τιμής μεταπώλησης</w:t>
      </w:r>
    </w:p>
    <w:p>
      <w:pPr>
        <w:spacing w:before="240" w:after="240"/>
        <w:rPr>
          <w:lang w:val="el" w:eastAsia="el"/>
        </w:rPr>
      </w:pPr>
      <w:r>
        <w:rPr>
          <w:b/>
          <w:bCs/>
          <w:lang w:val="el" w:eastAsia="el"/>
        </w:rPr>
        <w:t>γγ. Μέθοδος κόστους πλέον περιθώριο κέρδους.</w:t>
      </w:r>
    </w:p>
    <w:p>
      <w:pPr>
        <w:spacing w:before="240" w:after="240"/>
        <w:rPr>
          <w:lang w:val="el" w:eastAsia="el"/>
        </w:rPr>
      </w:pPr>
      <w:r>
        <w:rPr>
          <w:b/>
          <w:bCs/>
          <w:lang w:val="el" w:eastAsia="el"/>
        </w:rPr>
        <w:t xml:space="preserve">β. </w:t>
      </w:r>
      <w:r>
        <w:rPr>
          <w:b/>
          <w:bCs/>
          <w:lang w:val="el" w:eastAsia="el"/>
        </w:rPr>
        <w:t>Στις συναλλακτικές μεθόδους οι οποίες βασίζονται στα κέρδη (μικτά ή καθαρά) : αα. Μέθοδος του καθαρού περιθωρίου κέρδους συναλλαγής και</w:t>
      </w:r>
    </w:p>
    <w:p>
      <w:pPr>
        <w:spacing w:before="240" w:after="240"/>
        <w:rPr>
          <w:lang w:val="el" w:eastAsia="el"/>
        </w:rPr>
      </w:pPr>
      <w:r>
        <w:rPr>
          <w:b/>
          <w:bCs/>
          <w:lang w:val="el" w:eastAsia="el"/>
        </w:rPr>
        <w:t>ββ. Μέθοδος επιμερισμού κερδών.</w:t>
      </w:r>
    </w:p>
    <w:p>
      <w:pPr>
        <w:spacing w:before="240" w:after="240"/>
        <w:rPr>
          <w:lang w:val="el" w:eastAsia="el"/>
        </w:rPr>
      </w:pPr>
      <w:r>
        <w:rPr>
          <w:b/>
          <w:bCs/>
          <w:lang w:val="el" w:eastAsia="el"/>
        </w:rPr>
        <w:t>Μέθοδος της συγκρίσιμης μη ελεγχόμενης τιμής (Comparable Uncontrolled Price Method - CUP).</w:t>
      </w:r>
    </w:p>
    <w:p>
      <w:pPr>
        <w:spacing w:before="240" w:after="240"/>
        <w:rPr>
          <w:lang w:val="el" w:eastAsia="el"/>
        </w:rPr>
      </w:pPr>
      <w:r>
        <w:rPr>
          <w:b/>
          <w:bCs/>
          <w:lang w:val="el" w:eastAsia="el"/>
        </w:rPr>
        <w:t>Με βάση τη μέθοδο αυτή, η τιμή μιας ενδοομιλικής συναλλαγής συγκρίνεται με τη τιμή μιας παρόμοιας συναλλαγής μεταξύ ανεξάρτητων επιχειρήσεων.</w:t>
      </w:r>
    </w:p>
    <w:p>
      <w:pPr>
        <w:spacing w:before="240" w:after="240"/>
        <w:rPr>
          <w:lang w:val="el" w:eastAsia="el"/>
        </w:rPr>
      </w:pPr>
      <w:r>
        <w:rPr>
          <w:b/>
          <w:bCs/>
          <w:lang w:val="el" w:eastAsia="el"/>
        </w:rPr>
        <w:t>Μέθοδος Τιμής Μεταπώλησης (Resale Price Method - RPM)</w:t>
      </w:r>
    </w:p>
    <w:p>
      <w:pPr>
        <w:spacing w:before="240" w:after="240"/>
        <w:rPr>
          <w:lang w:val="el" w:eastAsia="el"/>
        </w:rPr>
      </w:pPr>
      <w:r>
        <w:rPr>
          <w:b/>
          <w:bCs/>
          <w:lang w:val="el" w:eastAsia="el"/>
        </w:rPr>
        <w:t>Με βάση τη μέθοδο αυτή, η τιμή της ενδοομιλικής συναλλαγής είναι ίση με την τιμή μεταπώλησης προϊόντος ή υπηρεσίας που έχει αγοραστεί από συνδεδεμένη επιχείρηση σε ανεξάρτητη επιχείρηση, μείον το μικτό περιθώριο κέρδους που θα πραγματοποιείτο σε παρόμοια συγκρίσιμη συναλλαγή μεταξύ ανεξαρτήτων επιχειρήσεων.</w:t>
      </w:r>
    </w:p>
    <w:p>
      <w:pPr>
        <w:spacing w:before="240" w:after="240"/>
        <w:rPr>
          <w:lang w:val="el" w:eastAsia="el"/>
        </w:rPr>
      </w:pPr>
      <w:r>
        <w:rPr>
          <w:b/>
          <w:bCs/>
          <w:lang w:val="el" w:eastAsia="el"/>
        </w:rPr>
        <w:t>Μέθοδος κόστους πλέον περιθώριο κέρδους (Cost plus Method - CPM)</w:t>
      </w:r>
    </w:p>
    <w:p>
      <w:pPr>
        <w:spacing w:before="240" w:after="240"/>
        <w:rPr>
          <w:lang w:val="el" w:eastAsia="el"/>
        </w:rPr>
      </w:pPr>
      <w:r>
        <w:rPr>
          <w:b/>
          <w:bCs/>
          <w:lang w:val="el" w:eastAsia="el"/>
        </w:rPr>
        <w:t>Με βάση τη μέθοδο αυτή, η τιμή μιας ενδοομιλικής συναλλαγής καθορίζεται εφαρμόζοντας επί του κόστους ένα κατάλληλο περιθώριο κέρδους, όπως αυτό θα ίσχυε μεταξύ ανεξάρτητων επιχειρήσεων.</w:t>
      </w:r>
    </w:p>
    <w:p>
      <w:pPr>
        <w:spacing w:before="240" w:after="240"/>
        <w:rPr>
          <w:lang w:val="el" w:eastAsia="el"/>
        </w:rPr>
      </w:pPr>
      <w:r>
        <w:rPr>
          <w:b/>
          <w:bCs/>
          <w:lang w:val="el" w:eastAsia="el"/>
        </w:rPr>
        <w:t>Μέθοδος του καθαρού περιθωρίου κέρδους συναλλαγής (Transactional Net Margin Method - TNMM)</w:t>
      </w:r>
    </w:p>
    <w:p>
      <w:pPr>
        <w:spacing w:before="240" w:after="240"/>
        <w:rPr>
          <w:lang w:val="el" w:eastAsia="el"/>
        </w:rPr>
      </w:pPr>
      <w:r>
        <w:rPr>
          <w:b/>
          <w:bCs/>
          <w:lang w:val="el" w:eastAsia="el"/>
        </w:rPr>
        <w:t>Με βάση τη μέθοδο αυτή, το καθαρό περιθώριο κέρδους μιας συναλλαγής μεταξύ συνδεδεμένων επιχειρήσεων συγκρίνεται με το καθαρό περιθώριο κέρδους το οποίο επιτυγχάνουν ανεξάρτητες επιχειρήσεις υπό παρόμοιες συνθήκες. Το περιθώριο καθαρού κέρδους εξετάζεται σε συνάρτηση προς ορισμένο οικονομικό μέγεθος, όπως κύκλο εργασιών, κόστος κτήσης, χρησιμοποιούμενα πάγια.</w:t>
      </w:r>
    </w:p>
    <w:p>
      <w:pPr>
        <w:spacing w:before="240" w:after="240"/>
        <w:rPr>
          <w:lang w:val="el" w:eastAsia="el"/>
        </w:rPr>
      </w:pPr>
      <w:r>
        <w:rPr>
          <w:b/>
          <w:bCs/>
          <w:lang w:val="el" w:eastAsia="el"/>
        </w:rPr>
        <w:t>Μέθοδος επιμερισμού κερδών (Profit Split Method - PSM)</w:t>
      </w:r>
    </w:p>
    <w:p>
      <w:pPr>
        <w:spacing w:before="240" w:after="240"/>
        <w:rPr>
          <w:lang w:val="el" w:eastAsia="el"/>
        </w:rPr>
      </w:pPr>
      <w:r>
        <w:rPr>
          <w:b/>
          <w:bCs/>
          <w:lang w:val="el" w:eastAsia="el"/>
        </w:rPr>
        <w:t>Με βάση τη μέθοδο αυτή, το καθαρό κέρδος ή η ζημία που προκύπτει από μία ενδοομιλική συναλλαγή κατανέμεται μεταξύ των συνδεδεμένων επιχειρήσεων ανάλογα με τη συνεισφορά τους στη συναλλαγή.</w:t>
      </w:r>
    </w:p>
    <w:p>
      <w:pPr>
        <w:spacing w:before="240" w:after="240"/>
        <w:rPr>
          <w:lang w:val="el" w:eastAsia="el"/>
        </w:rPr>
      </w:pPr>
      <w:r>
        <w:rPr>
          <w:b/>
          <w:bCs/>
          <w:lang w:val="el" w:eastAsia="el"/>
        </w:rPr>
        <w:t>Οι παραδοσιακές μέθοδοι είναι ο αμεσότερος τρόπος για να εξακριβωθεί κατά πόσον οι συναλλαγές μεταξύ συνδεδεμένων επιχειρήσεων ακολουθούν την αρχή της ελεύθερης αγοράς (Arm’s Length Principle). Κατά συνέπεια, οι παραδοσιακές μέθοδοι προτιμώνται των άλλων μεθόδων. Σε περίπτωση που δεν υπάρχουν διαθέσιμα ή επαρκή στοιχεία για την εφαρμογή των παραδοσιακών μεθόδων, οι επιχειρήσεις μπορούν αιτιολογημένα να εφαρμόσουν τις συναλλακτικές μεθόδους.</w:t>
      </w:r>
    </w:p>
    <w:p>
      <w:pPr>
        <w:spacing w:before="240" w:after="240"/>
        <w:rPr>
          <w:lang w:val="el" w:eastAsia="el"/>
        </w:rPr>
      </w:pPr>
      <w:r>
        <w:rPr>
          <w:b/>
          <w:bCs/>
          <w:lang w:val="el" w:eastAsia="el"/>
        </w:rPr>
        <w:t>Για την εφαρμογή των ως άνω μεθόδων, χρησιμοποιούνται συγκριτικά στοιχεία, τα οποία διακρίνονται σε:</w:t>
      </w:r>
    </w:p>
    <w:p>
      <w:pPr>
        <w:pStyle w:val="StructureList1"/>
        <w:spacing w:before="120" w:after="0"/>
        <w:rPr>
          <w:lang w:val="el" w:eastAsia="el"/>
        </w:rPr>
      </w:pPr>
      <w:r>
        <w:rPr>
          <w:b/>
          <w:bCs/>
          <w:lang w:val="el" w:eastAsia="el"/>
        </w:rPr>
        <w:t>α)</w:t>
      </w:r>
      <w:r>
        <w:rPr>
          <w:b/>
          <w:bCs/>
          <w:lang w:val="en" w:eastAsia="en"/>
        </w:rPr>
        <w:tab/>
      </w:r>
      <w:r>
        <w:rPr>
          <w:b/>
          <w:bCs/>
          <w:lang w:val="el" w:eastAsia="el"/>
        </w:rPr>
        <w:t>εσωτερικά, τα οποία προκύπτουν από συγκρίσιμες συναλλαγές της κρινόμενης επιχείρησης με μια ανεξάρτητη επιχείρηση ή συγκρίσιμες συναλλαγές μιας συνδεδεμένης με την κρινόμενη επιχείρηση με μια ανεξάρτητη επιχείρηση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εξωτερικά, τα οποία προκύπτουν από συγκρίσιμες συναλλαγές μεταξύ ανεξάρτητων προς την κρινόμενη επιχείρηση.</w:t>
      </w:r>
    </w:p>
    <w:p>
      <w:pPr>
        <w:spacing w:before="240" w:after="240"/>
        <w:rPr>
          <w:lang w:val="el" w:eastAsia="el"/>
        </w:rPr>
      </w:pPr>
      <w:r>
        <w:rPr>
          <w:b/>
          <w:bCs/>
          <w:lang w:val="el" w:eastAsia="el"/>
        </w:rPr>
        <w:t>Ως συγκρίσιμες συναλλαγές νοούνται αυτές οι οποίες ταυτίζονται ή παρουσιάζουν ομοιότητα ως προς το αντικείμενο και τα άλλα χαρακτηριστικά τους και των οποίων οι τυχόν διαφορές στους ειδικότερους όρους δεν μπορούν να επηρεάσουν σημαντικά το συμφωνούμενο τίμημα ή η επίδραση των διαφορών αυτών μπορεί να εξαλειφθεί μέσω κατάλληλων προσαρμογών.</w:t>
      </w:r>
    </w:p>
    <w:p>
      <w:pPr>
        <w:spacing w:before="240" w:after="240"/>
        <w:rPr>
          <w:lang w:val="el" w:eastAsia="el"/>
        </w:rPr>
      </w:pPr>
      <w:r>
        <w:rPr>
          <w:b/>
          <w:bCs/>
          <w:lang w:val="el" w:eastAsia="el"/>
        </w:rPr>
        <w:t>Παράγοντες που καθορίζουν και επηρεάζουν τη συγκρισιμότητα των συναλλαγών μεταξύ συνδεδεμένων επιχειρήσεων είναι:</w:t>
      </w:r>
    </w:p>
    <w:p>
      <w:pPr>
        <w:spacing w:before="240" w:after="240"/>
        <w:rPr>
          <w:lang w:val="el" w:eastAsia="el"/>
        </w:rPr>
      </w:pPr>
      <w:r>
        <w:rPr>
          <w:b/>
          <w:bCs/>
          <w:lang w:val="el" w:eastAsia="el"/>
        </w:rPr>
        <w:t xml:space="preserve">α. </w:t>
      </w:r>
      <w:r>
        <w:rPr>
          <w:b/>
          <w:bCs/>
          <w:lang w:val="el" w:eastAsia="el"/>
        </w:rPr>
        <w:t>τα χαρακτηριστικά των αγαθών ή υπηρεσιών που αποτελούν το αντικείμενο των συναλλαγών, όπως: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ενσώματα αγαθά, τα φυσικά χαρακτηριστικά προϊόντος, η ποιότητα, η αξιοπιστία, η διαθεσιμότητα, ο όγκος πωλήσεων,</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άυλα περιουσιακά στοιχεία, η μορφή της συναλλαγής (πώληση ή παραχώρηση χρήσης), το είδος του άυλου περιουσιακού στοιχείου, η διάρκεια και η έκταση της νομικής προστασίας, τα προσδοκώμενα οφέλη από τη χρήση αυτών,</w:t>
      </w:r>
    </w:p>
    <w:p>
      <w:pPr>
        <w:pStyle w:val="StructureList1"/>
        <w:spacing w:before="120" w:after="0"/>
        <w:rPr>
          <w:lang w:val="el" w:eastAsia="el"/>
        </w:rPr>
      </w:pPr>
      <w:r>
        <w:rPr>
          <w:b/>
          <w:bCs/>
          <w:lang w:val="el" w:eastAsia="el"/>
        </w:rPr>
        <w:t>-</w:t>
      </w:r>
      <w:r>
        <w:rPr>
          <w:b/>
          <w:bCs/>
          <w:lang w:val="en" w:eastAsia="en"/>
        </w:rPr>
        <w:tab/>
      </w:r>
      <w:r>
        <w:rPr>
          <w:b/>
          <w:bCs/>
          <w:lang w:val="el" w:eastAsia="el"/>
        </w:rPr>
        <w:t>για τις υπηρεσίες, η φύση και η έκταση παρεχόμενων υπηρεσιών.</w:t>
      </w:r>
    </w:p>
    <w:p>
      <w:pPr>
        <w:spacing w:before="240" w:after="240"/>
        <w:rPr>
          <w:lang w:val="el" w:eastAsia="el"/>
        </w:rPr>
      </w:pPr>
      <w:r>
        <w:rPr>
          <w:b/>
          <w:bCs/>
          <w:lang w:val="el" w:eastAsia="el"/>
        </w:rPr>
        <w:t xml:space="preserve">β. </w:t>
      </w:r>
      <w:r>
        <w:rPr>
          <w:b/>
          <w:bCs/>
          <w:lang w:val="el" w:eastAsia="el"/>
        </w:rPr>
        <w:t>οι σημαντικές οικονομικές λειτουργίες, οι κίνδυνοι που αναλαμβάνονται και τα μέσα (κτίρια, εξοπλισμός, άυλα, κλπ) που χρησιμοποιούνται, τα οποία αποτελούν στοιχεία της λειτουργικής ανάλυσης (functional analysis) που περιλαμβάνεται στον φάκελο τεκμηρίωσης.</w:t>
      </w:r>
    </w:p>
    <w:p>
      <w:pPr>
        <w:spacing w:before="240" w:after="240"/>
        <w:rPr>
          <w:lang w:val="el" w:eastAsia="el"/>
        </w:rPr>
      </w:pPr>
      <w:r>
        <w:rPr>
          <w:b/>
          <w:bCs/>
          <w:lang w:val="el" w:eastAsia="el"/>
        </w:rPr>
        <w:t xml:space="preserve">γ. </w:t>
      </w:r>
      <w:r>
        <w:rPr>
          <w:b/>
          <w:bCs/>
          <w:lang w:val="el" w:eastAsia="el"/>
        </w:rPr>
        <w:t>οι συμβατικοί όροι, δηλαδή ο καταμερισμός ευθυνών, κινδύνων και οφελών μεταξύ των συνδεδεμένων επιχειρήσεων (προθεσμίες, εγγυητικοί όροι σε συμβόλαια, κλπ).</w:t>
      </w:r>
    </w:p>
    <w:p>
      <w:pPr>
        <w:spacing w:before="240" w:after="240"/>
        <w:rPr>
          <w:lang w:val="el" w:eastAsia="el"/>
        </w:rPr>
      </w:pPr>
      <w:r>
        <w:rPr>
          <w:b/>
          <w:bCs/>
          <w:lang w:val="el" w:eastAsia="el"/>
        </w:rPr>
        <w:t xml:space="preserve">δ. </w:t>
      </w:r>
      <w:r>
        <w:rPr>
          <w:b/>
          <w:bCs/>
          <w:lang w:val="el" w:eastAsia="el"/>
        </w:rPr>
        <w:t>οι οικονομικές συνθήκες των συγκρινόμενων μερών και των συναλλαγών τους, (γεωγραφική θέση, αγοραστική δύναμη, ανταγωνιστικότητα, μέγεθος αγοράς, κόστος παραγωγής, κόστος εργασίας, κλπ.).</w:t>
      </w:r>
    </w:p>
    <w:p>
      <w:pPr>
        <w:spacing w:before="240" w:after="240"/>
        <w:rPr>
          <w:lang w:val="el" w:eastAsia="el"/>
        </w:rPr>
      </w:pPr>
      <w:r>
        <w:rPr>
          <w:b/>
          <w:bCs/>
          <w:lang w:val="el" w:eastAsia="el"/>
        </w:rPr>
        <w:t xml:space="preserve">ε. </w:t>
      </w:r>
      <w:r>
        <w:rPr>
          <w:b/>
          <w:bCs/>
          <w:lang w:val="el" w:eastAsia="el"/>
        </w:rPr>
        <w:t>ειδικές στρατηγικές που ασκούνται από την επιχείρηση (π.χ. προσπάθεια διείσδυσης σε αγορές, ανάπτυξη νέων και καινοτόμων προϊόντων, αύξηση μεριδίου αγοράς, κλπ.).</w:t>
      </w:r>
    </w:p>
    <w:p>
      <w:pPr>
        <w:spacing w:before="240" w:after="240"/>
        <w:rPr>
          <w:lang w:val="el" w:eastAsia="el"/>
        </w:rPr>
      </w:pPr>
      <w:r>
        <w:rPr>
          <w:b/>
          <w:bCs/>
          <w:lang w:val="el" w:eastAsia="el"/>
        </w:rPr>
        <w:t>Για την άντληση συγκριτικών στοιχείων οι επιχειρήσεις μπορούν να χρησιμοποιούν και οποιαδήποτε τράπεζα πληροφοριών, με υποχρεωτική αναφορά στο φάκελο τεκμηρίωσης των στοιχείων αυτής (ονομασία, πάροχος, έκδοση, πλήθος στοιχείων κ.λπ.).</w:t>
      </w:r>
    </w:p>
    <w:p>
      <w:pPr>
        <w:spacing w:before="240" w:after="240"/>
        <w:rPr>
          <w:lang w:val="el" w:eastAsia="el"/>
        </w:rPr>
      </w:pPr>
      <w:r>
        <w:rPr>
          <w:b/>
          <w:bCs/>
          <w:lang w:val="el" w:eastAsia="el"/>
        </w:rPr>
        <w:t>Σε περίπτωση που από την εφαρμογή της ακολουθούμενης μεθόδου ενδοομιλικής τιμολόγησης και τη χρήση συγκριτικών στοιχείων προκύπτει ένα εύρος τιμών ή κέρδους, απορρίπτεται το 25% των χαμηλότερων τιμών και το 25% των υψηλότερων, με τη χρήση τεταρτημόριων.</w:t>
      </w:r>
    </w:p>
    <w:p>
      <w:pPr>
        <w:spacing w:before="240" w:after="240"/>
        <w:rPr>
          <w:lang w:val="el" w:eastAsia="el"/>
        </w:rPr>
      </w:pPr>
      <w:r>
        <w:rPr>
          <w:b/>
          <w:bCs/>
          <w:lang w:val="el" w:eastAsia="el"/>
        </w:rPr>
        <w:t>Ο προσδιορισμός των τεταρτημορίων γίνεται ως εξής:</w:t>
      </w:r>
    </w:p>
    <w:p>
      <w:pPr>
        <w:spacing w:before="240" w:after="240"/>
        <w:rPr>
          <w:lang w:val="el" w:eastAsia="el"/>
        </w:rPr>
      </w:pPr>
      <w:r>
        <w:rPr>
          <w:b/>
          <w:bCs/>
          <w:lang w:val="el" w:eastAsia="el"/>
        </w:rPr>
        <w:t>Q1 = πρώτο τεταρτημόριο = 25</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Q2 = διάμεσος = 50</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Q3 = τρίτο τεταρτημόριο = 75</w:t>
      </w:r>
      <w:r>
        <w:rPr>
          <w:b/>
          <w:bCs/>
          <w:sz w:val="30"/>
          <w:szCs w:val="30"/>
          <w:vertAlign w:val="superscript"/>
          <w:lang w:val="el" w:eastAsia="el"/>
        </w:rPr>
        <w:t>ο</w:t>
      </w:r>
      <w:r>
        <w:rPr>
          <w:b/>
          <w:bCs/>
          <w:lang w:val="el" w:eastAsia="el"/>
        </w:rPr>
        <w:t xml:space="preserve"> εκατοστιαίο σημείο</w:t>
      </w:r>
    </w:p>
    <w:p>
      <w:pPr>
        <w:spacing w:before="240" w:after="240"/>
        <w:rPr>
          <w:lang w:val="el" w:eastAsia="el"/>
        </w:rPr>
      </w:pPr>
      <w:r>
        <w:rPr>
          <w:b/>
          <w:bCs/>
          <w:lang w:val="el" w:eastAsia="el"/>
        </w:rPr>
        <w:t>Ως συμβατή με την αρχή της ελεύθερης αγοράς (Arm’s Length Principle), θεωρείται οποιαδήποτε τιμή μεταξύ του πρώτου και του τρίτου τεταρτημόριου (25</w:t>
      </w:r>
      <w:r>
        <w:rPr>
          <w:b/>
          <w:bCs/>
          <w:sz w:val="30"/>
          <w:szCs w:val="30"/>
          <w:vertAlign w:val="superscript"/>
          <w:lang w:val="el" w:eastAsia="el"/>
        </w:rPr>
        <w:t>ου</w:t>
      </w:r>
      <w:r>
        <w:rPr>
          <w:b/>
          <w:bCs/>
          <w:lang w:val="el" w:eastAsia="el"/>
        </w:rPr>
        <w:t xml:space="preserve"> εκατοστιαίου σημείου έως και του 75</w:t>
      </w:r>
      <w:r>
        <w:rPr>
          <w:b/>
          <w:bCs/>
          <w:sz w:val="30"/>
          <w:szCs w:val="30"/>
          <w:vertAlign w:val="superscript"/>
          <w:lang w:val="el" w:eastAsia="el"/>
        </w:rPr>
        <w:t>ου</w:t>
      </w:r>
      <w:r>
        <w:rPr>
          <w:b/>
          <w:bCs/>
          <w:lang w:val="el" w:eastAsia="el"/>
        </w:rPr>
        <w:t xml:space="preserve"> εκατοστιαίου σημείου), με επαρκή αιτιολόγηση της επιλογής.</w:t>
      </w:r>
    </w:p>
    <w:p>
      <w:pPr>
        <w:pStyle w:val="Heading2"/>
        <w:spacing w:before="240" w:after="240"/>
        <w:rPr>
          <w:lang w:val="el" w:eastAsia="el"/>
        </w:rPr>
      </w:pPr>
      <w:r>
        <w:rPr>
          <w:rStyle w:val="hierarchy-num"/>
          <w:b/>
          <w:bCs/>
          <w:lang w:val="el" w:eastAsia="el"/>
        </w:rPr>
        <w:t>ΚΕΦΑΛΑΙΟ Ζ’</w:t>
      </w:r>
    </w:p>
    <w:p>
      <w:pPr>
        <w:spacing w:before="240" w:after="240"/>
        <w:rPr>
          <w:lang w:val="el" w:eastAsia="el"/>
        </w:rPr>
      </w:pPr>
      <w:r>
        <w:rPr>
          <w:b/>
          <w:bCs/>
          <w:lang w:val="el" w:eastAsia="el"/>
        </w:rPr>
        <w:t>ΕΝΑΡΞΗ ΙΣΧΥΟΣ</w:t>
      </w:r>
    </w:p>
    <w:p>
      <w:pPr>
        <w:spacing w:before="240" w:after="240"/>
        <w:rPr>
          <w:lang w:val="el" w:eastAsia="el"/>
        </w:rPr>
      </w:pPr>
      <w:r>
        <w:rPr>
          <w:b/>
          <w:bCs/>
          <w:lang w:val="el" w:eastAsia="el"/>
        </w:rPr>
        <w:t>Η παρούσα ισχύει για ενδοομιλικές συναλλαγές που πραγματοποιούνται σε διαχειριστικές περιόδους που αρχίζουν από την 1</w:t>
      </w:r>
      <w:r>
        <w:rPr>
          <w:b/>
          <w:bCs/>
          <w:sz w:val="30"/>
          <w:szCs w:val="30"/>
          <w:vertAlign w:val="superscript"/>
          <w:lang w:val="el" w:eastAsia="el"/>
        </w:rPr>
        <w:t>η</w:t>
      </w:r>
      <w:r>
        <w:rPr>
          <w:b/>
          <w:bCs/>
          <w:lang w:val="el" w:eastAsia="el"/>
        </w:rPr>
        <w:t xml:space="preserve"> Ιανουαρίου 2012 και μετά, ανεξάρτητα από την ημερομηνία λήξης αυτών.</w:t>
      </w:r>
    </w:p>
    <w:p>
      <w:pPr>
        <w:spacing w:before="240" w:after="240"/>
        <w:rPr>
          <w:lang w:val="el" w:eastAsia="el"/>
        </w:rPr>
      </w:pPr>
      <w:r>
        <w:rPr>
          <w:b/>
          <w:bCs/>
          <w:lang w:val="el" w:eastAsia="el"/>
        </w:rPr>
        <w:t>Για διαχειριστικές περιόδους που άρχισαν πριν την 1</w:t>
      </w:r>
      <w:r>
        <w:rPr>
          <w:b/>
          <w:bCs/>
          <w:sz w:val="30"/>
          <w:szCs w:val="30"/>
          <w:vertAlign w:val="superscript"/>
          <w:lang w:val="el" w:eastAsia="el"/>
        </w:rPr>
        <w:t>η</w:t>
      </w:r>
      <w:r>
        <w:rPr>
          <w:b/>
          <w:bCs/>
          <w:lang w:val="el" w:eastAsia="el"/>
        </w:rPr>
        <w:t xml:space="preserve"> Ιανουαρίου 2012 και μετά την έναρξη ισχύος του ν.3775/2009 (διαχειριστικές περιόδους για τις οποίες η προθεσμία υποβολής δήλωσης φορολογίας εισοδήματος γεννάται από 1</w:t>
      </w:r>
      <w:r>
        <w:rPr>
          <w:b/>
          <w:bCs/>
          <w:sz w:val="30"/>
          <w:szCs w:val="30"/>
          <w:vertAlign w:val="superscript"/>
          <w:lang w:val="el" w:eastAsia="el"/>
        </w:rPr>
        <w:t>η</w:t>
      </w:r>
      <w:r>
        <w:rPr>
          <w:b/>
          <w:bCs/>
          <w:lang w:val="el" w:eastAsia="el"/>
        </w:rPr>
        <w:t xml:space="preserve"> Ιανουαρίου 2011 και μετά) λαμβάνονται υπόψη οι φάκελοι τεκμηρίωσης που ορίζονται με τις διατάξεις του άρθρου 26 του ν.3728/2008.</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Συνημμένα:</w:t>
      </w:r>
      <w:r>
        <w:rPr>
          <w:b/>
          <w:bCs/>
          <w:lang w:val="el" w:eastAsia="el"/>
        </w:rPr>
        <w:t xml:space="preserve"> Συνοπτικός πίνακας πληροφοριών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Β’ (εκτός του αριθμού 2 αυτού)</w:t>
      </w:r>
    </w:p>
    <w:p>
      <w:pPr>
        <w:spacing w:before="240" w:after="240"/>
        <w:rPr>
          <w:lang w:val="el" w:eastAsia="el"/>
        </w:rPr>
      </w:pPr>
      <w:r>
        <w:rPr>
          <w:b/>
          <w:bCs/>
          <w:lang w:val="el" w:eastAsia="el"/>
        </w:rPr>
        <w:t>2. Γ.Γ.Π.Σ. – Διεύθυνση Εφαρμογών Η/Υ (Δ30)</w:t>
      </w:r>
    </w:p>
    <w:p>
      <w:pPr>
        <w:spacing w:before="240" w:after="240"/>
        <w:rPr>
          <w:lang w:val="el" w:eastAsia="el"/>
        </w:rPr>
      </w:pPr>
      <w:r>
        <w:rPr>
          <w:b/>
          <w:bCs/>
          <w:lang w:val="el" w:eastAsia="el"/>
        </w:rPr>
        <w:t>3. Οικονομικές Επιθεωρήσεις</w:t>
      </w:r>
    </w:p>
    <w:p>
      <w:pPr>
        <w:spacing w:before="240" w:after="240"/>
        <w:rPr>
          <w:lang w:val="el" w:eastAsia="el"/>
        </w:rPr>
      </w:pPr>
      <w:r>
        <w:rPr>
          <w:b/>
          <w:bCs/>
          <w:lang w:val="el" w:eastAsia="el"/>
        </w:rPr>
        <w:t>4. Κεντρική Υπηρεσία ΣΔΟΕ και τις Περιφερειακές Διευθύνσεις της</w:t>
      </w:r>
    </w:p>
    <w:p>
      <w:pPr>
        <w:spacing w:before="240" w:after="240"/>
        <w:rPr>
          <w:lang w:val="el" w:eastAsia="el"/>
        </w:rPr>
      </w:pPr>
      <w:r>
        <w:rPr>
          <w:b/>
          <w:bCs/>
          <w:lang w:val="el" w:eastAsia="el"/>
        </w:rPr>
        <w:t>5.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Α’, ΣΤ’ (εκτός των αριθ.1 και 2 αυτού), Ζ’ (εκτός των αριθμών 3,</w:t>
      </w:r>
    </w:p>
    <w:p>
      <w:pPr>
        <w:spacing w:before="240" w:after="240"/>
        <w:rPr>
          <w:lang w:val="el" w:eastAsia="el"/>
        </w:rPr>
      </w:pPr>
      <w:r>
        <w:rPr>
          <w:b/>
          <w:bCs/>
          <w:lang w:val="el" w:eastAsia="el"/>
        </w:rPr>
        <w:t>4 και 7), Η’, Θ’, Ι’, ΙΑ’, ΙΒ’, ΙΓ’, ΙΔ’, ΙΕ’, ΙΣΤ’, ΙΖ’, ΙΗ’, ΙΘ’, Κ’, ΚΑ’, ΚΒ’ και ΚΓ’</w:t>
      </w:r>
    </w:p>
    <w:p>
      <w:pPr>
        <w:spacing w:before="240" w:after="240"/>
        <w:rPr>
          <w:lang w:val="el" w:eastAsia="el"/>
        </w:rPr>
      </w:pPr>
      <w:r>
        <w:rPr>
          <w:b/>
          <w:bCs/>
          <w:lang w:val="el" w:eastAsia="el"/>
        </w:rPr>
        <w:t>2. Υπουργείο Ανάπτυξης, Ανταγωνιστικότητας, Υποδομών, Μεταφορών και Δικτύων, Διεύθυνση Ανωνύμων Εταιριών και Πίστεως, Πλ. Κάνιγγος - 101 81 ΑΘΗΝΑ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b/>
          <w:bCs/>
          <w:lang w:val="el" w:eastAsia="el"/>
        </w:rPr>
        <w:t>4. ΠΕΡΙΟΔΙΚΟ «ΦΟΡΟΛΟΓΙΚΗ ΕΠΙΘΕΩΡΗΣΗ»</w:t>
      </w:r>
    </w:p>
    <w:p>
      <w:pPr>
        <w:spacing w:before="240" w:after="240"/>
        <w:rPr>
          <w:lang w:val="el" w:eastAsia="el"/>
        </w:rPr>
      </w:pPr>
      <w:r>
        <w:rPr>
          <w:b/>
          <w:bCs/>
          <w:lang w:val="el" w:eastAsia="el"/>
        </w:rPr>
        <w:t>5. Π.Ο.Ε.- Δ.Ο.Υ.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Γενικής Γραμματέα κας. Παπακωνσταντίνου</w:t>
      </w:r>
    </w:p>
    <w:p>
      <w:pPr>
        <w:spacing w:before="240" w:after="240"/>
        <w:rPr>
          <w:lang w:val="el" w:eastAsia="el"/>
        </w:rPr>
      </w:pPr>
      <w:r>
        <w:rPr>
          <w:b/>
          <w:bCs/>
          <w:lang w:val="el" w:eastAsia="el"/>
        </w:rPr>
        <w:t>Γραφείο Γενικού Γραμματέα Δημοσίων Εσόδων κ. Θεοχάρη</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Τύπου και Δημοσίων Σχέσεων</w:t>
      </w:r>
    </w:p>
    <w:p>
      <w:pPr>
        <w:spacing w:before="240" w:after="240"/>
        <w:rPr>
          <w:lang w:val="el" w:eastAsia="el"/>
        </w:rPr>
      </w:pPr>
      <w:r>
        <w:rPr>
          <w:b/>
          <w:bCs/>
          <w:lang w:val="el" w:eastAsia="el"/>
        </w:rPr>
        <w:t>7. Γραφείο Επικοινωνίας και Πληροφόρησης Πολιτών</w:t>
      </w:r>
    </w:p>
    <w:p>
      <w:pPr>
        <w:spacing w:before="240" w:after="240"/>
        <w:rPr>
          <w:lang w:val="el" w:eastAsia="el"/>
        </w:rPr>
      </w:pPr>
      <w:r>
        <w:rPr>
          <w:b/>
          <w:bCs/>
          <w:lang w:val="el" w:eastAsia="el"/>
        </w:rPr>
        <w:t>8. Γεν. Δ/νση Οικονομικής Επιθεώρησης - Θεμιστοκλέους 5 – 101 84 ΑΘΗΝΑ</w:t>
      </w:r>
    </w:p>
    <w:p>
      <w:pPr>
        <w:spacing w:before="240" w:after="240"/>
        <w:rPr>
          <w:lang w:val="el" w:eastAsia="el"/>
        </w:rPr>
      </w:pPr>
      <w:r>
        <w:rPr>
          <w:b/>
          <w:bCs/>
          <w:lang w:val="el" w:eastAsia="el"/>
        </w:rPr>
        <w:t>9. Δ/νση Φορολογίας Εισοδήματος (Δ12) - Τμήματα Α’ (3), Β’ (10), Γ’ (2)</w:t>
      </w:r>
    </w:p>
    <w:p>
      <w:pPr>
        <w:spacing w:before="240" w:after="240"/>
        <w:rPr>
          <w:lang w:val="el" w:eastAsia="el"/>
        </w:rPr>
      </w:pPr>
      <w:r>
        <w:rPr>
          <w:b/>
          <w:bCs/>
          <w:lang w:val="el" w:eastAsia="el"/>
        </w:rPr>
        <w:t>10. Δ/νση Ελέγχων– Τμήματα Α΄( 3), Β΄(3), Γ’ (10)</w:t>
      </w:r>
    </w:p>
    <w:p>
      <w:pPr>
        <w:spacing w:before="240" w:after="240"/>
        <w:rPr>
          <w:lang w:val="el" w:eastAsia="el"/>
        </w:rPr>
      </w:pPr>
      <w:r>
        <w:rPr>
          <w:b/>
          <w:bCs/>
          <w:lang w:val="el" w:eastAsia="el"/>
        </w:rPr>
        <w:t>11. Γραφείο κ. Διευθυντή Ελέγχων</w:t>
      </w:r>
    </w:p>
    <w:p>
      <w:pPr>
        <w:spacing w:before="240" w:after="240"/>
        <w:rPr>
          <w:lang w:val="el" w:eastAsia="el"/>
        </w:rPr>
      </w:pPr>
      <w:r>
        <w:rPr>
          <w:b/>
          <w:bCs/>
          <w:u w:val="single"/>
          <w:lang w:val="el" w:eastAsia="el"/>
        </w:rPr>
        <w:t>ΠΑΡΑΡΤΗΜΑ</w:t>
      </w:r>
    </w:p>
    <w:p>
      <w:pPr>
        <w:spacing w:before="240" w:after="240"/>
        <w:rPr>
          <w:lang w:val="el" w:eastAsia="el"/>
        </w:rPr>
      </w:pPr>
      <w:r>
        <w:rPr>
          <w:b/>
          <w:bCs/>
          <w:lang w:val="el" w:eastAsia="el"/>
        </w:rPr>
        <w:t>ΣΥΝΟΠΤΙΚΟΣ ΠΙΝΑΚΑΣ ΠΛΗΡΟΦΟΡΙΩΝ</w:t>
      </w:r>
    </w:p>
    <w:p>
      <w:pPr>
        <w:spacing w:before="240" w:after="240"/>
        <w:rPr>
          <w:lang w:val="el" w:eastAsia="el"/>
        </w:rPr>
      </w:pPr>
      <w:r>
        <w:rPr>
          <w:b/>
          <w:bCs/>
          <w:lang w:val="el" w:eastAsia="el"/>
        </w:rPr>
        <w:t>ΠΡΟΣ</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Γενική Γραμματεία Πληροφοριακών Συστημάτων-Γ.Γ.Π.Σ</w:t>
      </w:r>
    </w:p>
    <w:p>
      <w:pPr>
        <w:spacing w:before="240" w:after="240"/>
        <w:rPr>
          <w:lang w:val="el" w:eastAsia="el"/>
        </w:rPr>
      </w:pPr>
      <w:r>
        <w:rPr>
          <w:b/>
          <w:bCs/>
          <w:lang w:val="el" w:eastAsia="el"/>
        </w:rPr>
        <w:t>Γενική Διεύθυνση ΚΕΠΥΟ-Δ30</w:t>
      </w:r>
    </w:p>
    <w:p>
      <w:pPr>
        <w:spacing w:before="240" w:after="240"/>
        <w:rPr>
          <w:lang w:val="el" w:eastAsia="el"/>
        </w:rPr>
      </w:pPr>
      <w:r>
        <w:rPr>
          <w:b/>
          <w:bCs/>
          <w:lang w:val="el" w:eastAsia="el"/>
        </w:rPr>
        <w:t>ΣΤΟΙΧΕΙΑ ΕΠΙΧΕΙΡΗΣΗΣ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13"/>
        <w:gridCol w:w="3255"/>
        <w:gridCol w:w="1846"/>
        <w:gridCol w:w="1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Δ.Ο.Υ.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Υπεύθυνος επικοινωνίας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Δραστηριότητας με μεγαλύτερα ακαθάριστα έσοδα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Αριθμητικώς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Διεθνής Κωδ. Χώρας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ή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Συνδεδεμένες επιχειρήσεις και μόνιμες 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Ε.Ε.</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/Ε.Ο.Χ.</w:t>
            </w:r>
            <w:r>
              <w:rPr>
                <w:b w:val="0"/>
                <w:bCs w:val="0"/>
                <w:i w:val="0"/>
                <w:iCs w:val="0"/>
                <w:smallCaps w:val="0"/>
                <w:color w:val="000000"/>
                <w:sz w:val="30"/>
                <w:szCs w:val="30"/>
                <w:vertAlign w:val="superscript"/>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χώρες εκτός της Ε.Ε./Ε.Ο.Χ. με τις οποίες υπάρχει Σ.Α.Δ.Φ.</w:t>
            </w:r>
            <w:r>
              <w:rPr>
                <w:b w:val="0"/>
                <w:bCs w:val="0"/>
                <w:i w:val="0"/>
                <w:iCs w:val="0"/>
                <w:smallCaps w:val="0"/>
                <w:color w:val="000000"/>
                <w:sz w:val="30"/>
                <w:szCs w:val="30"/>
                <w:vertAlign w:val="superscript"/>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χώρες εκτός της Ε.Ε./Ε.Ο.Χ. με τις οποίες δεν υπάρχει Σ.Α.Δ.Φ.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1</w:t>
      </w:r>
      <w:r>
        <w:rPr>
          <w:b/>
          <w:bCs/>
          <w:lang w:val="el" w:eastAsia="el"/>
        </w:rPr>
        <w:t xml:space="preserve"> ISO 3166 Κωδικός Χώρας</w:t>
      </w:r>
    </w:p>
    <w:p>
      <w:pPr>
        <w:spacing w:before="240" w:after="240"/>
        <w:rPr>
          <w:lang w:val="el" w:eastAsia="el"/>
        </w:rPr>
      </w:pPr>
      <w:r>
        <w:rPr>
          <w:b/>
          <w:bCs/>
          <w:sz w:val="30"/>
          <w:szCs w:val="30"/>
          <w:vertAlign w:val="superscript"/>
          <w:lang w:val="el" w:eastAsia="el"/>
        </w:rPr>
        <w:t>2</w:t>
      </w:r>
      <w:r>
        <w:rPr>
          <w:b/>
          <w:bCs/>
          <w:lang w:val="el" w:eastAsia="el"/>
        </w:rPr>
        <w:t xml:space="preserve"> Ευρωπαϊκή Ένωση</w:t>
      </w:r>
    </w:p>
    <w:p>
      <w:pPr>
        <w:spacing w:before="240" w:after="240"/>
        <w:rPr>
          <w:lang w:val="el" w:eastAsia="el"/>
        </w:rPr>
      </w:pPr>
      <w:r>
        <w:rPr>
          <w:b/>
          <w:bCs/>
          <w:sz w:val="30"/>
          <w:szCs w:val="30"/>
          <w:vertAlign w:val="superscript"/>
          <w:lang w:val="el" w:eastAsia="el"/>
        </w:rPr>
        <w:t>3</w:t>
      </w:r>
      <w:r>
        <w:rPr>
          <w:b/>
          <w:bCs/>
          <w:lang w:val="el" w:eastAsia="el"/>
        </w:rPr>
        <w:t xml:space="preserve"> Ευρωπαϊκός Οικονομικός Χώρος</w:t>
      </w:r>
    </w:p>
    <w:p>
      <w:pPr>
        <w:spacing w:before="240" w:after="240"/>
        <w:rPr>
          <w:lang w:val="el" w:eastAsia="el"/>
        </w:rPr>
      </w:pPr>
      <w:r>
        <w:rPr>
          <w:b/>
          <w:bCs/>
          <w:sz w:val="30"/>
          <w:szCs w:val="30"/>
          <w:vertAlign w:val="superscript"/>
          <w:lang w:val="el" w:eastAsia="el"/>
        </w:rPr>
        <w:t>4</w:t>
      </w:r>
      <w:r>
        <w:rPr>
          <w:b/>
          <w:bCs/>
          <w:lang w:val="el" w:eastAsia="el"/>
        </w:rPr>
        <w:t xml:space="preserve"> Σύμβαση Αποφυγής Διπλής Φορολογίας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37"/>
        <w:gridCol w:w="1318"/>
        <w:gridCol w:w="1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Διαχειριστική περίοδος (από: - έως: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αλλαγή στο ιδιοκτησιακό καθεστώς της επιχείρησης στην εν λόγω διαχειριστική περίοδο;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Συγχώνευση □ Διάσπαση □ Μετατροπή □ Απόσχιση □ Είσοδος νέων μετόχων □ Καμία αλλαγή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είναι διαθέσιμη, αναγράψτε τον υπερσύνδεσμο (hyperlink) της μητρικής(σε περίπτωση ομίλων).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Υπάρχουν συναλλαγές με συνδεδεμένες επιχειρήσεις και μόνιμες εγκαταστάσεις, αναφορικά με υπηρεσίες, μεταβίβαση ενσώματων ή ασώματων παγίων ή κάποια άλλη μεταβίβαση χωρίς τη καταβολή χρηματικού ανταλλάγματος (π.χ. με τη χρήση σύνθετων χρηματοοικονομικών παραγώγων, εκπτώσεις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ημεδαπή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παροχή υπηρεσιών προς συνδεδεμένες επιχειρήσεις και μόνιμες εγκαταστάσεις ή μεταβίβαση ενσώματων ή άυλων παγίων, ή κάποια άλλη μεταβίβαση, για τις οποίες δεν προβλέπεται καταβολή τιμήματος;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ημεδαπή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αλλοδαπή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bl>
    <w:p>
      <w:pPr>
        <w:spacing w:before="240" w:after="240"/>
        <w:rPr>
          <w:lang w:val="el" w:eastAsia="el"/>
        </w:rPr>
      </w:pPr>
      <w:r>
        <w:rPr>
          <w:b/>
          <w:bCs/>
          <w:lang w:val="el" w:eastAsia="el"/>
        </w:rPr>
        <w:t>ΛΕΙΤΟΥΡΓΙΚΗ ΤΑΥΤΟΤΗΤΑ</w:t>
      </w:r>
    </w:p>
    <w:p>
      <w:pPr>
        <w:spacing w:before="240" w:after="240"/>
        <w:rPr>
          <w:lang w:val="el" w:eastAsia="el"/>
        </w:rPr>
      </w:pPr>
      <w:r>
        <w:rPr>
          <w:b/>
          <w:bCs/>
          <w:lang w:val="el" w:eastAsia="el"/>
        </w:rPr>
        <w:t xml:space="preserve">1. </w:t>
      </w:r>
      <w:r>
        <w:rPr>
          <w:b/>
          <w:bCs/>
          <w:lang w:val="el" w:eastAsia="el"/>
        </w:rPr>
        <w:t>Πληροφορίες για τις συνδεδεμένες επιχειρήσεις ή μόνιμες εγκαταστάσεις με τις οποίες πραγματοποιήθηκαν συναλλαγές για τη συγκεκριμένη διαχειριστική περίοδο.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33"/>
        <w:gridCol w:w="712"/>
        <w:gridCol w:w="1132"/>
        <w:gridCol w:w="1474"/>
        <w:gridCol w:w="382"/>
        <w:gridCol w:w="1314"/>
        <w:gridCol w:w="1314"/>
        <w:gridCol w:w="16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ή VAT number ή Registration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Χώρα</w:t>
            </w:r>
            <w:r>
              <w:rPr>
                <w:rStyle w:val="Hyperlink"/>
                <w:b w:val="0"/>
                <w:bCs w:val="0"/>
                <w:i w:val="0"/>
                <w:iCs w:val="0"/>
                <w:smallCaps w:val="0"/>
                <w:color w:val="000000"/>
                <w:sz w:val="20"/>
                <w:szCs w:val="20"/>
                <w:u w:val="none" w:color="0000EE"/>
                <w:vertAlign w:val="superscript"/>
                <w:lang w:val="el" w:eastAsia="el"/>
              </w:rPr>
              <w:footnoteReference w:id="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Είδος Σχέσης</w:t>
            </w:r>
            <w:r>
              <w:rPr>
                <w:rStyle w:val="Hyperlink"/>
                <w:b w:val="0"/>
                <w:bCs w:val="0"/>
                <w:i w:val="0"/>
                <w:iCs w:val="0"/>
                <w:smallCaps w:val="0"/>
                <w:color w:val="000000"/>
                <w:sz w:val="20"/>
                <w:szCs w:val="20"/>
                <w:u w:val="none" w:color="0000EE"/>
                <w:vertAlign w:val="superscript"/>
                <w:lang w:val="el" w:eastAsia="el"/>
              </w:rPr>
              <w:footnoteReference w:id="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Έναρξης Σχέσης</w:t>
            </w:r>
            <w:r>
              <w:rPr>
                <w:rStyle w:val="Hyperlink"/>
                <w:b w:val="0"/>
                <w:bCs w:val="0"/>
                <w:i w:val="0"/>
                <w:iCs w:val="0"/>
                <w:smallCaps w:val="0"/>
                <w:color w:val="000000"/>
                <w:sz w:val="20"/>
                <w:szCs w:val="20"/>
                <w:u w:val="none" w:color="0000EE"/>
                <w:vertAlign w:val="superscript"/>
                <w:lang w:val="el" w:eastAsia="el"/>
              </w:rPr>
              <w:footnoteReference w:id="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Ημερομηνία Διακοπής</w:t>
            </w:r>
          </w:p>
          <w:p>
            <w:pPr>
              <w:spacing w:before="240"/>
              <w:rPr>
                <w:b w:val="0"/>
                <w:bCs w:val="0"/>
                <w:i w:val="0"/>
                <w:iCs w:val="0"/>
                <w:smallCaps w:val="0"/>
                <w:color w:val="000000"/>
                <w:lang w:val="el" w:eastAsia="el"/>
              </w:rPr>
            </w:pPr>
            <w:r>
              <w:rPr>
                <w:b w:val="0"/>
                <w:bCs w:val="0"/>
                <w:i w:val="0"/>
                <w:iCs w:val="0"/>
                <w:smallCaps w:val="0"/>
                <w:color w:val="000000"/>
                <w:lang w:val="el" w:eastAsia="el"/>
              </w:rPr>
              <w:t>Σχέσης</w:t>
            </w:r>
            <w:r>
              <w:rPr>
                <w:b w:val="0"/>
                <w:bCs w:val="0"/>
                <w:i w:val="0"/>
                <w:iCs w:val="0"/>
                <w:smallCaps w:val="0"/>
                <w:color w:val="000000"/>
                <w:sz w:val="30"/>
                <w:szCs w:val="30"/>
                <w:vertAlign w:val="superscript"/>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 κύριας δραστηριότητας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στο Κεφάλαιο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Συμμετοχή στη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Επιρροή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Μόνιμη Εγκατάσταση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2. </w:t>
      </w:r>
      <w:r>
        <w:rPr>
          <w:b/>
          <w:bCs/>
          <w:lang w:val="el" w:eastAsia="el"/>
        </w:rPr>
        <w:t>Λειτουργίες και κίνδυνοι υποβάλλουσας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0"/>
        <w:gridCol w:w="513"/>
        <w:gridCol w:w="2952"/>
        <w:gridCol w:w="513"/>
        <w:gridCol w:w="2230"/>
        <w:gridCol w:w="51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Λειτουργίες που επιτελούνται</w:t>
            </w:r>
            <w:r>
              <w:rPr>
                <w:b w:val="0"/>
                <w:bCs w:val="0"/>
                <w:i w:val="0"/>
                <w:iCs w:val="0"/>
                <w:smallCaps w:val="0"/>
                <w:color w:val="000000"/>
                <w:sz w:val="30"/>
                <w:szCs w:val="30"/>
                <w:u w:val="single" w:color="000000"/>
                <w:vertAlign w:val="superscript"/>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Κίνδυνοι που αναλαμβάνονται</w:t>
            </w:r>
            <w:r>
              <w:rPr>
                <w:b w:val="0"/>
                <w:bCs w:val="0"/>
                <w:i w:val="0"/>
                <w:iCs w:val="0"/>
                <w:smallCaps w:val="0"/>
                <w:color w:val="000000"/>
                <w:sz w:val="30"/>
                <w:szCs w:val="30"/>
                <w:u w:val="single" w:color="000000"/>
                <w:vertAlign w:val="superscript"/>
                <w:lang w:val="el" w:eastAsia="el"/>
              </w:rPr>
              <w:t>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Χρησιμοποιηθέντα Πάγια</w:t>
            </w:r>
            <w:r>
              <w:rPr>
                <w:b w:val="0"/>
                <w:bCs w:val="0"/>
                <w:i w:val="0"/>
                <w:iCs w:val="0"/>
                <w:smallCaps w:val="0"/>
                <w:color w:val="000000"/>
                <w:sz w:val="30"/>
                <w:szCs w:val="30"/>
                <w:u w:val="single" w:color="000000"/>
                <w:vertAlign w:val="superscript"/>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Επιχειρηματικός / Εμπορικός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(εγκαταστάσεις και εξοπλισμός)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(εμπορικά σήματα, πατέντες, τεχνογνωσία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Πιστωτικός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Αντιπροσώπευση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Εγγυήσεων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Εξυπηρέτηση πελατών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Συναλλαγματικός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Προώθηση πωλήσεων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Διατήρησης Αποθεμάτων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Ποιοτικός έλεγχος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αλλαγή στις λειτουργίες που αναλαμβάνει η επιχείρηση. 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αλλαγή στους κινδύνους που αναλαμβάνει η επιχείρηση. ΝΑΙ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sz w:val="30"/>
          <w:szCs w:val="30"/>
          <w:vertAlign w:val="superscript"/>
          <w:lang w:val="el" w:eastAsia="el"/>
        </w:rPr>
        <w:t>8</w:t>
      </w:r>
      <w:r>
        <w:rPr>
          <w:b/>
          <w:bCs/>
          <w:lang w:val="el" w:eastAsia="el"/>
        </w:rPr>
        <w:t xml:space="preserve"> Υπάρχει δυνατότητα πολλαπλής επιλογής.</w:t>
      </w:r>
    </w:p>
    <w:p>
      <w:pPr>
        <w:spacing w:before="240" w:after="240"/>
        <w:rPr>
          <w:lang w:val="el" w:eastAsia="el"/>
        </w:rPr>
      </w:pPr>
      <w:r>
        <w:rPr>
          <w:b/>
          <w:bCs/>
          <w:lang w:val="el" w:eastAsia="el"/>
        </w:rPr>
        <w:t>ΚΑΤΑΛΟΓΟΣ ΕΝΔΟΟΜΙΛΙΚΩΝ ΣΥΝΑΛΛΑΓΩΝ ΠΡΟΣ ΤΕΚΜΗΡΙΩΣΗ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8"/>
        <w:gridCol w:w="1194"/>
        <w:gridCol w:w="638"/>
        <w:gridCol w:w="1014"/>
        <w:gridCol w:w="1174"/>
        <w:gridCol w:w="1246"/>
        <w:gridCol w:w="1515"/>
        <w:gridCol w:w="12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ή VAT number ή Registration number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Χώρα </w:t>
            </w:r>
            <w:r>
              <w:rPr>
                <w:rStyle w:val="Hyperlink"/>
                <w:b w:val="0"/>
                <w:bCs w:val="0"/>
                <w:i w:val="0"/>
                <w:iCs w:val="0"/>
                <w:smallCaps w:val="0"/>
                <w:color w:val="000000"/>
                <w:sz w:val="20"/>
                <w:szCs w:val="20"/>
                <w:u w:val="none" w:color="0000EE"/>
                <w:vertAlign w:val="superscript"/>
                <w:lang w:val="el" w:eastAsia="el"/>
              </w:rPr>
              <w:footnoteReference w:id="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Αγορά/λήψη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Μέθοδος τεκμηρίωσης</w:t>
            </w:r>
            <w:r>
              <w:rPr>
                <w:rStyle w:val="Hyperlink"/>
                <w:b w:val="0"/>
                <w:bCs w:val="0"/>
                <w:i w:val="0"/>
                <w:iCs w:val="0"/>
                <w:smallCaps w:val="0"/>
                <w:color w:val="000000"/>
                <w:sz w:val="20"/>
                <w:szCs w:val="20"/>
                <w:u w:val="none" w:color="0000EE"/>
                <w:vertAlign w:val="superscript"/>
                <w:lang w:val="el" w:eastAsia="el"/>
              </w:rPr>
              <w:footnoteReference w:id="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Πώληση/παροχή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Μέθοδος</w:t>
            </w:r>
          </w:p>
          <w:p>
            <w:pPr>
              <w:spacing w:before="240"/>
              <w:rPr>
                <w:b w:val="0"/>
                <w:bCs w:val="0"/>
                <w:i w:val="0"/>
                <w:iCs w:val="0"/>
                <w:smallCaps w:val="0"/>
                <w:color w:val="000000"/>
                <w:lang w:val="el" w:eastAsia="el"/>
              </w:rPr>
            </w:pPr>
            <w:r>
              <w:rPr>
                <w:b w:val="0"/>
                <w:bCs w:val="0"/>
                <w:i w:val="0"/>
                <w:iCs w:val="0"/>
                <w:smallCaps w:val="0"/>
                <w:color w:val="000000"/>
                <w:lang w:val="el" w:eastAsia="el"/>
              </w:rPr>
              <w:t>Τεκμηρίωσης</w:t>
            </w:r>
            <w:r>
              <w:rPr>
                <w:b w:val="0"/>
                <w:bCs w:val="0"/>
                <w:i w:val="0"/>
                <w:iCs w:val="0"/>
                <w:smallCaps w:val="0"/>
                <w:color w:val="000000"/>
                <w:sz w:val="30"/>
                <w:szCs w:val="30"/>
                <w:vertAlign w:val="superscript"/>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άυλα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διανομής, μάρκετινγκ και διαφήμισης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8"/>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Χρηματοοικονομικές συναλλαγές</w:t>
            </w:r>
          </w:p>
          <w:p>
            <w:pPr>
              <w:spacing w:before="240"/>
              <w:rPr>
                <w:b w:val="0"/>
                <w:bCs w:val="0"/>
                <w:i w:val="0"/>
                <w:iCs w:val="0"/>
                <w:smallCaps w:val="0"/>
                <w:color w:val="000000"/>
                <w:lang w:val="el" w:eastAsia="el"/>
              </w:rPr>
            </w:pPr>
            <w:r>
              <w:rPr>
                <w:b w:val="0"/>
                <w:bCs w:val="0"/>
                <w:i w:val="0"/>
                <w:iCs w:val="0"/>
                <w:smallCaps w:val="0"/>
                <w:color w:val="000000"/>
                <w:lang w:val="el" w:eastAsia="el"/>
              </w:rPr>
              <w:t>(τόκοι, μερίσματα, χρηματοδοτικές μισθώσεις, χρεόγραφα, ασφάλειες,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περιουσιακών στοιχείων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Υποστήριξη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&amp; Ανάπτυξη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Λοιπές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 – Διαγραφή χρεών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Κατανομή δαπανών (Συμφωνίες Κατανομής Κόστους)</w:t>
            </w:r>
            <w:r>
              <w:rPr>
                <w:b w:val="0"/>
                <w:bCs w:val="0"/>
                <w:i w:val="0"/>
                <w:iCs w:val="0"/>
                <w:smallCaps w:val="0"/>
                <w:color w:val="000000"/>
                <w:sz w:val="30"/>
                <w:szCs w:val="30"/>
                <w:vertAlign w:val="superscript"/>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ΓΝΩΣΤΟΠΟΙΗΣΕΙΣ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75"/>
        <w:gridCol w:w="98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καταρτιστεί φάκελος τεκμηρίωσης σύμφωνα με το άρθρο 39</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xml:space="preserve"> του ν. 2238/94 για τις συναλλαγές που αναφέρονται ανωτέρω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απόφαση προέγκρισης μεθοδολογίας ενδοομιλικής τιμολόγησης (APA) για κάποια από τις προαναφερόμενες συναλλαγές;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τεκμηριωτικό υλικό ως προς τα συμπληρωμένα πεδία του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ΟΧΙ □</w:t>
            </w:r>
          </w:p>
        </w:tc>
      </w:tr>
    </w:tbl>
    <w:p>
      <w:pPr>
        <w:spacing w:before="240" w:after="240"/>
        <w:rPr>
          <w:lang w:val="el" w:eastAsia="el"/>
        </w:rPr>
      </w:pPr>
      <w:r>
        <w:rPr>
          <w:b/>
          <w:bCs/>
          <w:lang w:val="el" w:eastAsia="el"/>
        </w:rPr>
        <w:t>11</w:t>
      </w:r>
    </w:p>
    <w:p>
      <w:pPr>
        <w:spacing w:before="240" w:after="240"/>
        <w:rPr>
          <w:lang w:val="el" w:eastAsia="el"/>
        </w:rPr>
      </w:pPr>
      <w:r>
        <w:rPr>
          <w:b/>
          <w:bCs/>
          <w:lang w:val="el" w:eastAsia="el"/>
        </w:rPr>
        <w:t>CCA’s: Cost Contribution Arrangements</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ISO 3166 Κωδικός Χώρας</w:t>
      </w:r>
    </w:p>
  </w:footnote>
  <w:footnote w:id="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Υπάρχει δυνατότητα πολλαπλής επιλογής.</w:t>
      </w:r>
    </w:p>
  </w:footnote>
  <w:footnote w:id="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Εφόσον υπάρχει μεταβολή μέσα στη συγκεκριμένη διαχειριστική περίοδο.</w:t>
      </w:r>
    </w:p>
  </w:footnote>
  <w:footnote w:id="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 xml:space="preserve"> ISO 3166 Κωδικός Χώρας</w:t>
      </w:r>
    </w:p>
  </w:footnote>
  <w:footnote w:id="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Μέθοδος της συγκρίσιμης μη ελεγχόμενης τιμής (CUP) = 1, τιμής μεταπώλησης (RPM) = 2, κόστους πλέον περιθώριο κέρδους (CPΜ) = 3, καθαρού περιθωρίου κέρδους συναλλαγής (TNMM) = 4, επιμερισμού κερδών (PSM) = 5 , άλλη = 6, με δυνατότητα επιλογής περισσοτέρων της μιας μεθόδων.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