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ΦΕΚ: Β΄ 1893/01-08-2013</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ΓΕΝΙΚΗ ΔΙΕΥΘΥΝΣΗ</w:t>
      </w:r>
    </w:p>
    <w:p>
      <w:pPr>
        <w:pStyle w:val="PreambelText"/>
        <w:spacing w:before="240" w:after="240"/>
        <w:rPr>
          <w:lang w:val="el" w:eastAsia="el"/>
        </w:rPr>
      </w:pPr>
      <w:r>
        <w:rPr>
          <w:b/>
          <w:bCs/>
          <w:lang w:val="el" w:eastAsia="el"/>
        </w:rPr>
        <w:t>ΔΙΟΙΚΗΤΙΚΗΣ ΥΠΟΣΤΗΡΙΞΗΣ</w:t>
      </w:r>
    </w:p>
    <w:p>
      <w:pPr>
        <w:pStyle w:val="PreambelText"/>
        <w:spacing w:before="240" w:after="240"/>
        <w:rPr>
          <w:lang w:val="el" w:eastAsia="el"/>
        </w:rPr>
      </w:pPr>
      <w:r>
        <w:rPr>
          <w:b/>
          <w:bCs/>
          <w:lang w:val="el" w:eastAsia="el"/>
        </w:rPr>
        <w:t>ΔΙΕΥΘΥΝΣΗ ΟΡΓΑΝΩΣΗΣ (Δ.6)</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Κωδ.: 10184 ΑΘΗΝΑ</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 210- 3222386</w:t>
      </w:r>
    </w:p>
    <w:p>
      <w:pPr>
        <w:spacing w:before="240" w:after="240"/>
        <w:rPr>
          <w:lang w:val="el" w:eastAsia="el"/>
        </w:rPr>
      </w:pPr>
      <w:r>
        <w:rPr>
          <w:lang w:val="el" w:eastAsia="el"/>
        </w:rPr>
        <w:t>Fax : 210- 3230829</w:t>
      </w:r>
    </w:p>
    <w:p>
      <w:pPr>
        <w:spacing w:before="240" w:after="240"/>
        <w:rPr>
          <w:lang w:val="el" w:eastAsia="el"/>
        </w:rPr>
      </w:pPr>
      <w:r>
        <w:rPr>
          <w:lang w:val="el" w:eastAsia="el"/>
        </w:rPr>
        <w:t xml:space="preserve">2. </w:t>
      </w:r>
      <w:r>
        <w:rPr>
          <w:b/>
          <w:bCs/>
          <w:lang w:val="el" w:eastAsia="el"/>
        </w:rPr>
        <w:t>ΓΕΝΙΚΗ ΔΙΕΥΘΥΝΣΗ</w:t>
      </w:r>
    </w:p>
    <w:p>
      <w:pPr>
        <w:spacing w:before="240" w:after="240"/>
        <w:rPr>
          <w:lang w:val="el" w:eastAsia="el"/>
        </w:rPr>
      </w:pPr>
      <w:r>
        <w:rPr>
          <w:b/>
          <w:bCs/>
          <w:lang w:val="el" w:eastAsia="el"/>
        </w:rPr>
        <w:t>ΦΟΡΟΛΟΓΙΚΩΝ ΕΛΕΓΧΩΝ ΚΑΙ</w:t>
      </w:r>
    </w:p>
    <w:p>
      <w:pPr>
        <w:spacing w:before="240" w:after="240"/>
        <w:rPr>
          <w:lang w:val="el" w:eastAsia="el"/>
        </w:rPr>
      </w:pPr>
      <w:r>
        <w:rPr>
          <w:b/>
          <w:bCs/>
          <w:lang w:val="el" w:eastAsia="el"/>
        </w:rPr>
        <w:t>ΕΙΣΠΡΑΞΗΣ ΔΗΜΟΣΙΩΝ ΕΣΟΔΩΝ</w:t>
      </w:r>
    </w:p>
    <w:p>
      <w:pPr>
        <w:spacing w:before="240" w:after="240"/>
        <w:rPr>
          <w:lang w:val="el" w:eastAsia="el"/>
        </w:rPr>
      </w:pPr>
      <w:r>
        <w:rPr>
          <w:b/>
          <w:bCs/>
          <w:lang w:val="el" w:eastAsia="el"/>
        </w:rPr>
        <w:t>ΔΙΕΥΘΥΝΣΗ ΕΠΙΧΕΙΡΗΣΙΑΚΟΥ</w:t>
      </w:r>
    </w:p>
    <w:p>
      <w:pPr>
        <w:spacing w:before="240" w:after="240"/>
        <w:rPr>
          <w:lang w:val="el" w:eastAsia="el"/>
        </w:rPr>
      </w:pPr>
      <w:r>
        <w:rPr>
          <w:b/>
          <w:bCs/>
          <w:lang w:val="el" w:eastAsia="el"/>
        </w:rPr>
        <w:t>ΣΧΕΔΙΑΣΜΟΥ</w:t>
      </w:r>
    </w:p>
    <w:p>
      <w:pPr>
        <w:spacing w:before="240" w:after="240"/>
        <w:rPr>
          <w:lang w:val="el" w:eastAsia="el"/>
        </w:rPr>
      </w:pPr>
      <w:r>
        <w:rPr>
          <w:b/>
          <w:bCs/>
          <w:lang w:val="el" w:eastAsia="el"/>
        </w:rPr>
        <w:t>ΘΕΜΑ: «Καθορισμός της διάρθρωσης και των αρμοδιοτήτων της Υπηρεσίας Εσωτερικής Επανεξέτασης της Γενικής Γραμματείας Δημοσίων Εσόδων, καθώς και απαραίτητων λεπτομερειών λειτουργίας αυτής»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υποπαραγράφου γ΄ της παρ. 5 του άρθρου 55 του ν. 4002/2011 (Α΄180) «Τροποποίηση της συνταξιοδοτικής νομοθεσίας του Δημοσίου –Ρυθμίσεις για την ανάπτυξη και τη δημοσιονομική εξυγίανση-Θέματα αρμοδιότητας και Κοινωνικής Ασφάλισης», όπως αυτή προστέθηκε με την παρ. 9 του άρθρου 4 του ν. 4038/2012 (Α΄14)», συμπληρώθηκε με εδάφιο β΄ με την παρ.2 του άρθρου 35 του ν. 4141/2013 (Α΄81) «Επενδυτικά Εργαλεία Ανάπτυξης, παροχή πιστώσεων και άλλες διατάξεις» και αντικαταστάθηκε με την περ. 4 της υποπαραγράφου Β1 της παραγράφου Β του άρθρου πρώτου του ν. 4152/2013 (Α΄ 107) «Επείγοντα μέτρα εφαρμογής των νόμων 4046/2012, 4093/2012, 4127/2013».</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70Β του ν. 2238/1994 (Α΄ 151), όπως προστέθηκε με την περίπτωση 1 της υποπαραγράφου Α5 της παραγράφου Α του άρθρου πρώτου του ν. 4152/2013, καθώς και της περίπτωσης 2α της ίδιας υποπαραγράφου.</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π.δ. 284/1988 (Α΄128) «Οργανισμός του Υπουργείου Οικονομικών</w:t>
      </w:r>
      <w:r>
        <w:rPr>
          <w:b/>
          <w:bCs/>
          <w:i/>
          <w:iCs/>
          <w:lang w:val="el" w:eastAsia="el"/>
        </w:rPr>
        <w:t>»</w:t>
      </w:r>
      <w:r>
        <w:rPr>
          <w:b/>
          <w:bCs/>
          <w:lang w:val="el" w:eastAsia="el"/>
        </w:rPr>
        <w:t>, όπως ισχύει</w:t>
      </w:r>
      <w:r>
        <w:rPr>
          <w:b/>
          <w:bCs/>
          <w:i/>
          <w:i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και του π..δ. 189/2009 (Α΄ 221) «Καθορισμός και ανακατανομή αρμοδιοτήτων των Υπουργείων».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τροποποιήθηκε και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1 του π.δ. 65/2011 ( Α΄147) «Διάσπαση του Υπουργείου Εσωτερικών, Αποκέντρωσης και Ηλεκτρονικής Διακυβέρνησης στα Υπουργεία : α) Εσωτερικών και β) Διοικητικής Μεταρρύθμισης και Ηλεκτρονικής Διακυβέρνησης….».</w:t>
      </w:r>
    </w:p>
    <w:p>
      <w:pPr>
        <w:spacing w:before="240" w:after="240"/>
        <w:rPr>
          <w:lang w:val="el" w:eastAsia="el"/>
        </w:rPr>
      </w:pPr>
      <w:r>
        <w:rPr>
          <w:b/>
          <w:bCs/>
          <w:lang w:val="el" w:eastAsia="el"/>
        </w:rPr>
        <w:t>2. Την αριθ.Δ6Α 1015213 ΕΞ 2013/28-1-2013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w:t>
      </w:r>
      <w:r>
        <w:rPr>
          <w:b/>
          <w:bCs/>
          <w:lang w:val="el" w:eastAsia="el"/>
        </w:rPr>
        <w:t xml:space="preserve">3. </w:t>
      </w:r>
      <w:r>
        <w:rPr>
          <w:b/>
          <w:bCs/>
          <w:lang w:val="el" w:eastAsia="el"/>
        </w:rPr>
        <w:t>Το αριθ. 2/69725/18-7-2013 (ΟΡΘΗ ΕΠΑΝΑΛΗΨΗ) έγγραφο της Προϊσταμένης της Γενικής Διεύθυνσης Οικονομικών Υπηρεσιών του Υπουργείου Οικονομικών και την συνημμένη σε αυτό απόφαση του Υπουργού Οικονομικών.</w:t>
      </w:r>
    </w:p>
    <w:p>
      <w:pPr>
        <w:spacing w:before="240" w:after="240"/>
        <w:rPr>
          <w:lang w:val="el" w:eastAsia="el"/>
        </w:rPr>
      </w:pPr>
      <w:r>
        <w:rPr>
          <w:b/>
          <w:bCs/>
          <w:lang w:val="el" w:eastAsia="el"/>
        </w:rPr>
        <w:t>4. Το αριθ. ΔΟΑ/Φ.4.2/οικ 20275/18-7-2013 έγγραφο, με το οποίο εκφράζεται η γνώμη του Γενικού Γραμματέα του Υπουργείου Διοικητικής Μεταρρύθμισης και Ηλεκτρονικής Διακυβέρνησης.</w:t>
      </w:r>
    </w:p>
    <w:p>
      <w:pPr>
        <w:spacing w:before="240" w:after="240"/>
        <w:rPr>
          <w:lang w:val="el" w:eastAsia="el"/>
        </w:rPr>
      </w:pPr>
      <w:r>
        <w:rPr>
          <w:b/>
          <w:bCs/>
          <w:lang w:val="el" w:eastAsia="el"/>
        </w:rPr>
        <w:t>5. Την ανάγκη καθορισμού της διάρθρωσης και των αρμοδιοτήτων της Υπηρεσίας Εσωτερικής Επανεξέτασης της Γενικής Γραμματείας Δημοσίων Εσόδων, καθώς και απαραίτητων λεπτομερειών για την λειτουργία αυτής</w:t>
      </w:r>
    </w:p>
    <w:p>
      <w:pPr>
        <w:spacing w:before="240" w:after="240"/>
        <w:rPr>
          <w:lang w:val="el" w:eastAsia="el"/>
        </w:rPr>
      </w:pPr>
      <w:r>
        <w:rPr>
          <w:b/>
          <w:bCs/>
          <w:lang w:val="el" w:eastAsia="el"/>
        </w:rPr>
        <w:t>6. Το γεγονός ότι, από τις διατάξεις της παρούσας απόφασης, δεν προκαλείται επιπλέον δαπάνη πέραν της αναφερθείσας στο αριθ. 2/69725/18-7-2013 (ΟΡΘΗ ΕΠΑΝΑΛΗΨΗ) έγγραφο της Προϊσταμένης της Γενικής Διεύθυνσης Οικονομικών Υπηρεσιών.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 xml:space="preserve">Η </w:t>
      </w:r>
      <w:r>
        <w:rPr>
          <w:b/>
          <w:bCs/>
          <w:lang w:val="el" w:eastAsia="el"/>
        </w:rPr>
        <w:t xml:space="preserve">Υπηρεσία Εσωτερικής Επανεξέτασης </w:t>
      </w:r>
      <w:r>
        <w:rPr>
          <w:b/>
          <w:bCs/>
          <w:lang w:val="el" w:eastAsia="el"/>
        </w:rPr>
        <w:t>της Γενικής Γραμματείας Δημοσίων Εσόδων του Υπουργείου Οικονομικών</w:t>
      </w:r>
      <w:r>
        <w:rPr>
          <w:b/>
          <w:bCs/>
          <w:lang w:val="el" w:eastAsia="el"/>
        </w:rPr>
        <w:t xml:space="preserve">, </w:t>
      </w:r>
      <w:r>
        <w:rPr>
          <w:b/>
          <w:bCs/>
          <w:lang w:val="el" w:eastAsia="el"/>
        </w:rPr>
        <w:t xml:space="preserve">που προβλέπεται στις διατάξεις της παραγράφου 1 του άρθρου 70Β του ν. 2238/1994 (Α΄ 151), όπως προστέθηκε με την περίπτωση 1 της υποπαραγράφου Α5 της παραγράφου Α΄ του άρθρου πρώτου του ν. 4152/2013 (Α΄ 107), είναι ειδική αποκεντρωμένη υπηρεσία, επιπέδου Διεύθυνσης, υπαγόμενη απευθείας στον Γενικό Γραμματέα της Γενικής Γραμματείας Δημοσίων Εσόδων και ασκεί τις κατωτέρω αρμοδιότητες </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Την επανεξέταση των πράξεων της φορολογικής διοίκησης στα πλαίσια της διοικητικής διαδικασίας, κατόπιν υποβολής ενδικοφανούς προσφυγής.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εξέταση αιτημάτων αναστολής της καταβολής του 50% του αμφισβητούμενου ποσού της πράξης, που βεβαιώνεται κατά την άσκηση ενδικοφανούς προσφυγής.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αποστολή του διοικητικού φακέλου με αναλυτική έκθεση απόψεων για τους προβαλλόμενους νομικούς και πραγματικούς ισχυρισμούς, σε περίπτωση άσκησης προσφυγής των αποφάσεών της, ενώπιον κάθε βαθμού δικαιοδοσίας των τακτικών διοικητικών Δικαστηρίων.</w:t>
      </w:r>
    </w:p>
    <w:p>
      <w:pPr>
        <w:pStyle w:val="StructureList1"/>
        <w:spacing w:before="120" w:after="0"/>
        <w:rPr>
          <w:lang w:val="el" w:eastAsia="el"/>
        </w:rPr>
      </w:pPr>
      <w:r>
        <w:rPr>
          <w:b/>
          <w:bCs/>
          <w:lang w:val="el" w:eastAsia="el"/>
        </w:rPr>
        <w:t>δ)</w:t>
      </w:r>
      <w:r>
        <w:rPr>
          <w:b/>
          <w:bCs/>
          <w:lang w:val="en" w:eastAsia="en"/>
        </w:rPr>
        <w:tab/>
      </w:r>
      <w:r>
        <w:rPr>
          <w:b/>
          <w:bCs/>
          <w:lang w:val="el" w:eastAsia="el"/>
        </w:rPr>
        <w:t>Την εισήγηση επί νομοθετικών ρυθμίσεων, καθώς και την έκδοση αποφάσεων, εγκυκλίων και οδηγιών σχετικά με την επανεξέταση πράξεων της φορολογικής διοίκησης ενώπιόν της.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εισήγηση προς τον Γενικό Γραμματέα της Γενικής Γραμματείας Δημοσίων Εσόδων επί αιτήσεων άρσης των επιβληθέντων διασφαλιστικών των συμφερόντων του Δημοσίου μέτρων.</w:t>
      </w:r>
    </w:p>
    <w:p>
      <w:pPr>
        <w:spacing w:before="240" w:after="240"/>
        <w:rPr>
          <w:lang w:val="el" w:eastAsia="el"/>
        </w:rPr>
      </w:pPr>
      <w:r>
        <w:rPr>
          <w:b/>
          <w:bCs/>
          <w:lang w:val="el" w:eastAsia="el"/>
        </w:rPr>
        <w:t xml:space="preserve">2 </w:t>
      </w:r>
      <w:r>
        <w:rPr>
          <w:b/>
          <w:bCs/>
          <w:lang w:val="el" w:eastAsia="el"/>
        </w:rPr>
        <w:t>.</w:t>
      </w:r>
      <w:r>
        <w:rPr>
          <w:b/>
          <w:bCs/>
          <w:lang w:val="el" w:eastAsia="el"/>
        </w:rPr>
        <w:t xml:space="preserve">- </w:t>
      </w:r>
      <w:r>
        <w:rPr>
          <w:b/>
          <w:bCs/>
          <w:lang w:val="el" w:eastAsia="el"/>
        </w:rPr>
        <w:t xml:space="preserve">Α. </w:t>
      </w:r>
      <w:r>
        <w:rPr>
          <w:b/>
          <w:bCs/>
          <w:lang w:val="el" w:eastAsia="el"/>
        </w:rPr>
        <w:t xml:space="preserve">Η Υπηρεσία Εσωτερικής Επανεξέτασης διαρθρώνεται σε μία (1) Υποδιεύθυνση και σε εννέα (9) Τμήματα, στα οποία κατανέμονται οι αρμοδιότητές της, ως εξής </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Τμήματα Α1 έως Α7 Επανεξέτασης</w:t>
      </w:r>
      <w:r>
        <w:rPr>
          <w:b/>
          <w:bCs/>
          <w:lang w:val="el" w:eastAsia="el"/>
        </w:rPr>
        <w:t>, τα οποία ασκούν τις αρμοδιότητες, που προβλέπονται στις υποπαραγράφους α΄, β΄ και γ΄ της παραγράφου 1 της παρούσας απόφασης. Οι υποθέσεις ανατίθενται στα Τμήματα με πράξη του Προϊσταμένου της Διεύθυνσης.</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Τμήμα Β΄- Νομικής Υποστήριξης και Επανεξέτασης</w:t>
      </w:r>
      <w:r>
        <w:rPr>
          <w:b/>
          <w:bCs/>
          <w:lang w:val="el" w:eastAsia="el"/>
        </w:rPr>
        <w:t>, το οποίο παρέχει τις απόψεις του στα Τμήματα Επανεξέτασης επί θεμάτων νομικής φύσεως και ερμηνευτικών ζητημάτων που προκύπτουν κατά την εξέταση των ενδικοφανών προσφυγών και ασκεί τις αρμοδιότητες, που προβλέπονται στις υποπαραγράφους δ΄ και ε΄ της παραγράφου 1 της παρούσας. Παράλληλα, μπορεί να του ανατίθενται οι αρμοδιότητες που προβλέπονται στις υποπαραγράφους α΄, β΄ και γ΄ της παραγράφου 1 της παρούσας απόφασης.</w:t>
      </w:r>
    </w:p>
    <w:p>
      <w:pPr>
        <w:pStyle w:val="StructureList1"/>
        <w:spacing w:before="120" w:after="0"/>
        <w:rPr>
          <w:lang w:val="el" w:eastAsia="el"/>
        </w:rPr>
      </w:pPr>
      <w:r>
        <w:rPr>
          <w:b/>
          <w:bCs/>
          <w:lang w:val="el" w:eastAsia="el"/>
        </w:rPr>
        <w:t>γ)</w:t>
      </w:r>
      <w:r>
        <w:rPr>
          <w:b/>
          <w:bCs/>
          <w:lang w:val="en" w:eastAsia="en"/>
        </w:rPr>
        <w:tab/>
      </w:r>
      <w:r>
        <w:rPr>
          <w:b/>
          <w:bCs/>
          <w:u w:val="single"/>
          <w:lang w:val="el" w:eastAsia="el"/>
        </w:rPr>
        <w:t>Τμήμα Γ΄- Διοικητικής και Μηχανογραφικής Υποστήριξης</w:t>
      </w:r>
      <w:r>
        <w:rPr>
          <w:b/>
          <w:bCs/>
          <w:lang w:val="el" w:eastAsia="el"/>
        </w:rPr>
        <w:t>, το οποίο έχει αρμοδιότητα επί θεμάτων διοικητικής και γραμματειακής υποστήριξης και επί θεμάτων προσωπικού. Καταγράφει και παρακολουθεί τις υποθέσεις ενδικοφανών προσφυγών, που διαβιβάζονται προς εξέταση στην Υπηρεσία, καταγράφει και παρακολουθεί τις υποθέσεις αρμοδιότητας αυτής, που εισάγονται ενώπιον των διοικητικών δικαστηρίων.</w:t>
      </w:r>
    </w:p>
    <w:p>
      <w:pPr>
        <w:spacing w:before="240" w:after="240"/>
        <w:rPr>
          <w:lang w:val="el" w:eastAsia="el"/>
        </w:rPr>
      </w:pPr>
      <w:r>
        <w:rPr>
          <w:b/>
          <w:bCs/>
          <w:lang w:val="el" w:eastAsia="el"/>
        </w:rPr>
        <w:t>Τηρεί το αρχείο των υποθέσεων και των εν γένει εγγράφων της Υπηρεσίας και μεριμνά για την κοινοποίηση των αποφάσεων και των εγγράφων αυτής. Αξιοποιεί τις υφιστάμενες εφαρμογές πληροφορικής του Υπουργείου Οικονομικών, προτείνει νέες μηχανογραφικές εφαρμογές και τηρεί τα απαιτούμενα στατιστικά στοιχεία.</w:t>
      </w:r>
    </w:p>
    <w:p>
      <w:pPr>
        <w:spacing w:before="240" w:after="240"/>
        <w:rPr>
          <w:lang w:val="el" w:eastAsia="el"/>
        </w:rPr>
      </w:pPr>
      <w:r>
        <w:rPr>
          <w:b/>
          <w:bCs/>
          <w:lang w:val="el" w:eastAsia="el"/>
        </w:rPr>
        <w:t xml:space="preserve">Β. </w:t>
      </w:r>
      <w:r>
        <w:rPr>
          <w:b/>
          <w:bCs/>
          <w:lang w:val="el" w:eastAsia="el"/>
        </w:rPr>
        <w:t xml:space="preserve">Στην Υποδιεύθυνση, η οποία φέρει τον τίτλο </w:t>
      </w:r>
      <w:r>
        <w:rPr>
          <w:b/>
          <w:bCs/>
          <w:u w:val="single"/>
          <w:lang w:val="el" w:eastAsia="el"/>
        </w:rPr>
        <w:t>«Υποδιεύθυνση Επανεξέτασης»</w:t>
      </w:r>
      <w:r>
        <w:rPr>
          <w:b/>
          <w:bCs/>
          <w:lang w:val="el" w:eastAsia="el"/>
        </w:rPr>
        <w:t>, υπάγονται όλα τα Τμήματα Επανεξέτασης.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Της Υπηρεσίας Εσωτερικής Επανεξέτασης, της Υποδιεύθυνσης και των Τμημάτων της προΐστανται υπάλληλοι κατηγορίας ΠΕ του κλάδου Εφοριακών.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 xml:space="preserve">α) Ορίζουμε την </w:t>
      </w:r>
      <w:r>
        <w:rPr>
          <w:b/>
          <w:bCs/>
          <w:lang w:val="el" w:eastAsia="el"/>
        </w:rPr>
        <w:t>01/08/2013</w:t>
      </w:r>
      <w:r>
        <w:rPr>
          <w:b/>
          <w:bCs/>
          <w:lang w:val="el" w:eastAsia="el"/>
        </w:rPr>
        <w:t xml:space="preserve">, ως ημερομηνία έναρξης λειτουργίας της </w:t>
      </w:r>
      <w:r>
        <w:rPr>
          <w:b/>
          <w:bCs/>
          <w:lang w:val="el" w:eastAsia="el"/>
        </w:rPr>
        <w:t xml:space="preserve">Υπηρεσίας Εσωτερικής Επανεξέτασης </w:t>
      </w:r>
      <w:r>
        <w:rPr>
          <w:b/>
          <w:bCs/>
          <w:lang w:val="el" w:eastAsia="el"/>
        </w:rPr>
        <w:t>της Γενικής Γραμματείας Δημοσίων Εσόδων του Υπουργείου Οικονομικών, της Υποδιεύθυνσης και των Τμημάτων της, εκτός από τα αναφερθέντα στην υποπαράγραφο β΄ της παρούσας παραγράφου.</w:t>
      </w:r>
    </w:p>
    <w:p>
      <w:pPr>
        <w:pStyle w:val="StructureList1"/>
        <w:spacing w:before="120" w:after="0"/>
        <w:rPr>
          <w:lang w:val="el" w:eastAsia="el"/>
        </w:rPr>
      </w:pPr>
      <w:r>
        <w:rPr>
          <w:b/>
          <w:bCs/>
          <w:lang w:val="el" w:eastAsia="el"/>
        </w:rPr>
        <w:t>β)</w:t>
      </w:r>
      <w:r>
        <w:rPr>
          <w:b/>
          <w:bCs/>
          <w:lang w:val="en" w:eastAsia="en"/>
        </w:rPr>
        <w:tab/>
      </w:r>
      <w:r>
        <w:rPr>
          <w:b/>
          <w:bCs/>
          <w:lang w:val="el" w:eastAsia="el"/>
        </w:rPr>
        <w:t>Η ημερομηνία έναρξης λειτουργίας των επιπλέον των τεσσάρων (4) Τμημάτων Επανεξέτασης της Υποδιεύθυνσης Επανεξέτασης θα ορισθεί με νεώτερη απόφασή μας.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ΤΗΣ ΓΕΝΙΚΗΣΓΡΑΜΜΑΤΕΙΑΣ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I .</w:t>
      </w:r>
      <w:r>
        <w:rPr>
          <w:b/>
          <w:bCs/>
          <w:lang w:val="el" w:eastAsia="el"/>
        </w:rPr>
        <w:t>-</w:t>
      </w:r>
      <w:r>
        <w:rPr>
          <w:b/>
          <w:bCs/>
          <w:lang w:val="el" w:eastAsia="el"/>
        </w:rPr>
        <w:t>ΑΠΟΔΕΚΤΕΣ ΓΙΑ ΕΝΕΡΓΕΙΑ</w:t>
      </w:r>
    </w:p>
    <w:p>
      <w:pPr>
        <w:spacing w:before="240" w:after="240"/>
        <w:rPr>
          <w:lang w:val="el" w:eastAsia="el"/>
        </w:rPr>
      </w:pPr>
      <w:r>
        <w:rPr>
          <w:b/>
          <w:bCs/>
          <w:lang w:val="el" w:eastAsia="el"/>
        </w:rPr>
        <w:t>1 .- Εθνικό Τυπογραφείο (για δημοσίευση)</w:t>
      </w:r>
    </w:p>
    <w:p>
      <w:pPr>
        <w:spacing w:before="240" w:after="240"/>
        <w:rPr>
          <w:lang w:val="el" w:eastAsia="el"/>
        </w:rPr>
      </w:pPr>
      <w:r>
        <w:rPr>
          <w:b/>
          <w:bCs/>
          <w:lang w:val="el" w:eastAsia="el"/>
        </w:rPr>
        <w:t xml:space="preserve">2 .- Προϊσταμένους Γενικών Διευθύνσεων </w:t>
      </w:r>
      <w:r>
        <w:rPr>
          <w:b/>
          <w:bCs/>
          <w:lang w:val="el" w:eastAsia="el"/>
        </w:rPr>
        <w:t xml:space="preserve">: </w:t>
      </w:r>
      <w:r>
        <w:rPr>
          <w:b/>
          <w:bCs/>
          <w:lang w:val="el" w:eastAsia="el"/>
        </w:rPr>
        <w:t>α) της Γενικής Γραμματείας Δημοσίων</w:t>
      </w:r>
    </w:p>
    <w:p>
      <w:pPr>
        <w:spacing w:before="240" w:after="240"/>
        <w:rPr>
          <w:lang w:val="el" w:eastAsia="el"/>
        </w:rPr>
      </w:pPr>
      <w:r>
        <w:rPr>
          <w:b/>
          <w:bCs/>
          <w:lang w:val="el" w:eastAsia="el"/>
        </w:rPr>
        <w:t>Εσόδων, β) Οικονομικών Υπηρεσιών, γ) ΚΕ.Π.Υ.Ο. και δ) Δημόσιας Περιουσίας και</w:t>
      </w:r>
    </w:p>
    <w:p>
      <w:pPr>
        <w:spacing w:before="240" w:after="240"/>
        <w:rPr>
          <w:lang w:val="el" w:eastAsia="el"/>
        </w:rPr>
      </w:pPr>
      <w:r>
        <w:rPr>
          <w:b/>
          <w:bCs/>
          <w:lang w:val="el" w:eastAsia="el"/>
        </w:rPr>
        <w:t>Εθνικών Κληροδοτημάτων</w:t>
      </w:r>
    </w:p>
    <w:p>
      <w:pPr>
        <w:spacing w:before="240" w:after="240"/>
        <w:rPr>
          <w:lang w:val="el" w:eastAsia="el"/>
        </w:rPr>
      </w:pPr>
      <w:r>
        <w:rPr>
          <w:b/>
          <w:bCs/>
          <w:lang w:val="el" w:eastAsia="el"/>
        </w:rPr>
        <w:t xml:space="preserve">3 .- Διευθύνσεις Γενικών Διευθύνσεων </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Φορολογικών Ελέγχων και Είσπραξης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Φορολογίας</w:t>
      </w:r>
    </w:p>
    <w:p>
      <w:pPr>
        <w:pStyle w:val="StructureList1"/>
        <w:spacing w:before="120" w:after="0"/>
        <w:rPr>
          <w:lang w:val="el" w:eastAsia="el"/>
        </w:rPr>
      </w:pPr>
      <w:r>
        <w:rPr>
          <w:b/>
          <w:bCs/>
          <w:lang w:val="el" w:eastAsia="el"/>
        </w:rPr>
        <w:t>γ)</w:t>
      </w:r>
      <w:r>
        <w:rPr>
          <w:b/>
          <w:bCs/>
          <w:lang w:val="en" w:eastAsia="en"/>
        </w:rPr>
        <w:tab/>
      </w:r>
      <w:r>
        <w:rPr>
          <w:b/>
          <w:bCs/>
          <w:lang w:val="el" w:eastAsia="el"/>
        </w:rPr>
        <w:t>Τελωνείων και ΕΦΚ</w:t>
      </w:r>
    </w:p>
    <w:p>
      <w:pPr>
        <w:pStyle w:val="StructureList1"/>
        <w:spacing w:before="120" w:after="0"/>
        <w:rPr>
          <w:lang w:val="el" w:eastAsia="el"/>
        </w:rPr>
      </w:pPr>
      <w:r>
        <w:rPr>
          <w:b/>
          <w:bCs/>
          <w:lang w:val="el" w:eastAsia="el"/>
        </w:rPr>
        <w:t>δ)</w:t>
      </w:r>
      <w:r>
        <w:rPr>
          <w:b/>
          <w:bCs/>
          <w:lang w:val="en" w:eastAsia="en"/>
        </w:rPr>
        <w:tab/>
      </w:r>
      <w:r>
        <w:rPr>
          <w:b/>
          <w:bCs/>
          <w:lang w:val="el" w:eastAsia="el"/>
        </w:rPr>
        <w:t>ΓΧΚ</w:t>
      </w:r>
    </w:p>
    <w:p>
      <w:pPr>
        <w:pStyle w:val="StructureList1"/>
        <w:spacing w:before="120" w:after="0"/>
        <w:rPr>
          <w:lang w:val="el" w:eastAsia="el"/>
        </w:rPr>
      </w:pPr>
      <w:r>
        <w:rPr>
          <w:b/>
          <w:bCs/>
          <w:lang w:val="el" w:eastAsia="el"/>
        </w:rPr>
        <w:t>ε)</w:t>
      </w:r>
      <w:r>
        <w:rPr>
          <w:b/>
          <w:bCs/>
          <w:lang w:val="en" w:eastAsia="en"/>
        </w:rPr>
        <w:tab/>
      </w:r>
      <w:r>
        <w:rPr>
          <w:b/>
          <w:bCs/>
          <w:lang w:val="el" w:eastAsia="el"/>
        </w:rPr>
        <w:t>Διοικητικής Υποστήριξης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Οικονομικής Επιθεώρησης</w:t>
      </w:r>
    </w:p>
    <w:p>
      <w:pPr>
        <w:pStyle w:val="StructureList1"/>
        <w:spacing w:before="120" w:after="0"/>
        <w:rPr>
          <w:lang w:val="el" w:eastAsia="el"/>
        </w:rPr>
      </w:pPr>
      <w:r>
        <w:rPr>
          <w:b/>
          <w:bCs/>
          <w:lang w:val="el" w:eastAsia="el"/>
        </w:rPr>
        <w:t>ζ)</w:t>
      </w:r>
      <w:r>
        <w:rPr>
          <w:b/>
          <w:bCs/>
          <w:lang w:val="en" w:eastAsia="en"/>
        </w:rPr>
        <w:tab/>
      </w:r>
      <w:r>
        <w:rPr>
          <w:b/>
          <w:bCs/>
          <w:lang w:val="el" w:eastAsia="el"/>
        </w:rPr>
        <w:t>ΚΕ.Π.Υ.Ο.</w:t>
      </w:r>
    </w:p>
    <w:p>
      <w:pPr>
        <w:pStyle w:val="StructureList1"/>
        <w:spacing w:before="120" w:after="0"/>
        <w:rPr>
          <w:lang w:val="el" w:eastAsia="el"/>
        </w:rPr>
      </w:pPr>
      <w:r>
        <w:rPr>
          <w:b/>
          <w:bCs/>
          <w:lang w:val="el" w:eastAsia="el"/>
        </w:rPr>
        <w:t>η)</w:t>
      </w:r>
      <w:r>
        <w:rPr>
          <w:b/>
          <w:bCs/>
          <w:lang w:val="en" w:eastAsia="en"/>
        </w:rPr>
        <w:tab/>
      </w:r>
      <w:r>
        <w:rPr>
          <w:b/>
          <w:bCs/>
          <w:lang w:val="el" w:eastAsia="el"/>
        </w:rPr>
        <w:t>Οικονομικών Υπηρεσιών</w:t>
      </w:r>
    </w:p>
    <w:p>
      <w:pPr>
        <w:spacing w:before="240" w:after="240"/>
        <w:rPr>
          <w:lang w:val="el" w:eastAsia="el"/>
        </w:rPr>
      </w:pPr>
      <w:r>
        <w:rPr>
          <w:b/>
          <w:bCs/>
          <w:lang w:val="el" w:eastAsia="el"/>
        </w:rPr>
        <w:t>4 .- Διεύθυνση Τεχνικών Υπηρεσιών και Στέγασης</w:t>
      </w:r>
    </w:p>
    <w:p>
      <w:pPr>
        <w:spacing w:before="240" w:after="240"/>
        <w:rPr>
          <w:lang w:val="el" w:eastAsia="el"/>
        </w:rPr>
      </w:pPr>
      <w:r>
        <w:rPr>
          <w:b/>
          <w:bCs/>
          <w:lang w:val="el" w:eastAsia="el"/>
        </w:rPr>
        <w:t>5 .- Αποδέκτες Πινάκων Β΄(εκτός του με α/α 7), Γ΄, Ε΄ και ΣΤ΄</w:t>
      </w:r>
    </w:p>
    <w:p>
      <w:pPr>
        <w:spacing w:before="240" w:after="240"/>
        <w:rPr>
          <w:lang w:val="el" w:eastAsia="el"/>
        </w:rPr>
      </w:pPr>
      <w:r>
        <w:rPr>
          <w:b/>
          <w:bCs/>
          <w:lang w:val="el" w:eastAsia="el"/>
        </w:rPr>
        <w:t>II.- ΑΠΟΔΕΚΤΕΣ ΠΡΟΣ ΕΝΗΜΕΡΩΣΗ</w:t>
      </w:r>
    </w:p>
    <w:p>
      <w:pPr>
        <w:spacing w:before="240" w:after="240"/>
        <w:rPr>
          <w:lang w:val="el" w:eastAsia="el"/>
        </w:rPr>
      </w:pPr>
      <w:r>
        <w:rPr>
          <w:b/>
          <w:bCs/>
          <w:lang w:val="el" w:eastAsia="el"/>
        </w:rPr>
        <w:t>1. Υπουργείο Διοικητικής Μεταρρύθμισης και Ηλεκτρονικής Διακυβέρνησης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 Γενικού Γραμματέα</w:t>
      </w:r>
    </w:p>
    <w:p>
      <w:pPr>
        <w:spacing w:before="240" w:after="240"/>
        <w:rPr>
          <w:lang w:val="el" w:eastAsia="el"/>
        </w:rPr>
      </w:pPr>
      <w:r>
        <w:rPr>
          <w:b/>
          <w:bCs/>
          <w:lang w:val="el" w:eastAsia="el"/>
        </w:rPr>
        <w:t>2. Αποδέκτες Πίνακα Δ΄ και Ζ΄(εκτός του με α/α 6)</w:t>
      </w:r>
    </w:p>
    <w:p>
      <w:pPr>
        <w:spacing w:before="240" w:after="240"/>
        <w:rPr>
          <w:lang w:val="el" w:eastAsia="el"/>
        </w:rPr>
      </w:pPr>
      <w:r>
        <w:rPr>
          <w:b/>
          <w:bCs/>
          <w:lang w:val="el" w:eastAsia="el"/>
        </w:rPr>
        <w:t>3. Περιοδικό «ΦΟΡΟΛΟΓΙΚΗ ΕΠΙΘΕΩΡΗΣΗ»</w:t>
      </w:r>
    </w:p>
    <w:p>
      <w:pPr>
        <w:spacing w:before="240" w:after="240"/>
        <w:rPr>
          <w:lang w:val="el" w:eastAsia="el"/>
        </w:rPr>
      </w:pPr>
      <w:r>
        <w:rPr>
          <w:b/>
          <w:bCs/>
          <w:lang w:val="el" w:eastAsia="el"/>
        </w:rPr>
        <w:t>ΕΣΩΤΕΡΙΚΗ ΔΙΑΝΟΜΗ :</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Αναπληρωτή Υπουργού</w:t>
      </w:r>
    </w:p>
    <w:p>
      <w:pPr>
        <w:spacing w:before="240" w:after="240"/>
        <w:rPr>
          <w:lang w:val="el" w:eastAsia="el"/>
        </w:rPr>
      </w:pPr>
      <w:r>
        <w:rPr>
          <w:b/>
          <w:bCs/>
          <w:lang w:val="el" w:eastAsia="el"/>
        </w:rPr>
        <w:t>3. Γραφείο κ. Υφυπουργού</w:t>
      </w:r>
    </w:p>
    <w:p>
      <w:pPr>
        <w:spacing w:before="240" w:after="240"/>
        <w:rPr>
          <w:lang w:val="el" w:eastAsia="el"/>
        </w:rPr>
      </w:pPr>
      <w:r>
        <w:rPr>
          <w:b/>
          <w:bCs/>
          <w:lang w:val="el" w:eastAsia="el"/>
        </w:rPr>
        <w:t>4. Γραφεία κ.κ. Γενικών Γραμματέων</w:t>
      </w:r>
    </w:p>
    <w:p>
      <w:pPr>
        <w:spacing w:before="240" w:after="240"/>
        <w:rPr>
          <w:lang w:val="el" w:eastAsia="el"/>
        </w:rPr>
      </w:pPr>
      <w:r>
        <w:rPr>
          <w:b/>
          <w:bCs/>
          <w:lang w:val="el" w:eastAsia="el"/>
        </w:rPr>
        <w:t>5. Γραφείο κ. Ειδικού Γραμματέα ΣΔΟΕ</w:t>
      </w:r>
    </w:p>
    <w:p>
      <w:pPr>
        <w:spacing w:before="240" w:after="240"/>
        <w:rPr>
          <w:lang w:val="el" w:eastAsia="el"/>
        </w:rPr>
      </w:pPr>
      <w:r>
        <w:rPr>
          <w:b/>
          <w:bCs/>
          <w:lang w:val="el" w:eastAsia="el"/>
        </w:rPr>
        <w:t>6. κ.κ. Προϊσταμένους Γεν. Διευθύνσεων (εκτός όσων αναφέρονται στους αποδέκτες προς ενέργεια)</w:t>
      </w:r>
    </w:p>
    <w:p>
      <w:pPr>
        <w:spacing w:before="240" w:after="240"/>
        <w:rPr>
          <w:lang w:val="el" w:eastAsia="el"/>
        </w:rPr>
      </w:pPr>
      <w:r>
        <w:rPr>
          <w:b/>
          <w:bCs/>
          <w:lang w:val="el" w:eastAsia="el"/>
        </w:rPr>
        <w:t>7. Αποδέκτες Πίνακα Α΄ (εκτός όσων αναφέρονται στους αποδέκτες προς ενέργεια και ενημέρωση)</w:t>
      </w:r>
    </w:p>
    <w:p>
      <w:pPr>
        <w:spacing w:before="240" w:after="240"/>
        <w:rPr>
          <w:lang w:val="el" w:eastAsia="el"/>
        </w:rPr>
      </w:pPr>
      <w:r>
        <w:rPr>
          <w:b/>
          <w:bCs/>
          <w:lang w:val="el" w:eastAsia="el"/>
        </w:rPr>
        <w:t xml:space="preserve">8. Δ/νση Οργάνωσης </w:t>
      </w:r>
      <w:r>
        <w:rPr>
          <w:b/>
          <w:bCs/>
          <w:lang w:val="el" w:eastAsia="el"/>
        </w:rPr>
        <w:t xml:space="preserve">: </w:t>
      </w:r>
      <w:r>
        <w:rPr>
          <w:b/>
          <w:bCs/>
          <w:lang w:val="el" w:eastAsia="el"/>
        </w:rPr>
        <w:t>Πρ/νη -Τμήματα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