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30376/3284</w:t>
      </w:r>
      <w:r>
        <w:rPr>
          <w:lang w:val="el" w:eastAsia="el"/>
        </w:rPr>
        <w:t>Τροποποίηση της υπ’ αριθμ. οικ. 48941/3564/16-11-2012 κοινής υπουργικής απόφασης «Τοποθέτηση ηλεκτρονικού συστήματος εντοπισμού θέσης (GPS) σε μεταφορικά μέσα πετρελαιοειδών προϊόντων» (ΦΕΚ 3052/Β’).</w:t>
      </w:r>
    </w:p>
    <w:p>
      <w:pPr>
        <w:pStyle w:val="enacting"/>
        <w:spacing w:before="120" w:after="0"/>
        <w:rPr>
          <w:lang w:val="el" w:eastAsia="el"/>
        </w:rPr>
      </w:pPr>
      <w:r>
        <w:rPr>
          <w:b/>
          <w:bCs/>
          <w:lang w:val="el" w:eastAsia="el"/>
        </w:rPr>
        <w:t>ΟΙΥΠΟΥΡΓΟΙΟΙΚΟΝΟΜΙΚΩΝ-ΑΝΑΠΤΥΞΗΣΚΑΙΑΝΤΑΓΩΝΙΣΤΙΚΟΤΗΤΑΣ-ΥΠΟΔΟΜΩΝ,ΜΕΤΑΦΟΡΩΝΚΑΙΔΙΚΤΥΩΝ-ΝΑΥΤΙΛΙΑΣΚΑΙΑΙΓΑΙΟΥ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8α του άρθρου 15 του ν. 3054/2002 (ΦΕΚ 230/Α’) όπως τροποποιήθηκε από την υποπαρ. Ι3 της περ. 9 του ν. 4093/12 (ΦΕΚ 222/Α’).</w:t>
      </w:r>
    </w:p>
    <w:p>
      <w:pPr>
        <w:pStyle w:val="PreambelText"/>
        <w:spacing w:before="240" w:after="240"/>
        <w:rPr>
          <w:lang w:val="el" w:eastAsia="el"/>
        </w:rPr>
      </w:pPr>
      <w:r>
        <w:rPr>
          <w:lang w:val="el" w:eastAsia="el"/>
        </w:rPr>
        <w:t>β. του άρθρου 2 του ν. 3897/2010 (ΦΕΚ 208/Α’) «Σύσταση Εθνικού Συμβουλίου Οδικής Ασφάλειας και Γενικής Διεύθυνσης Οδικής Ασφάλειας, εποπτεία και βελτίωση του θεσμού του τεχνικού ελέγχου οχημάτων για την προαγωγή της Οδικής Ασφάλειας και την προστασία του περιβάλλοντος, κύρωση Σύμβασης μεταξύ Ελληνικού Δημοσίου και Ο.Α.Σ.Θ. και άλλες διατάξεις».</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που κωδικοποιήθηκε με το άρθρο πρώτο του π.δ. 63/2005 (ΦΕΚ 98 Α’). δ. του π.δ. 85/2012 (ΦΕΚ 141/Α’) «Ίδρυση και μετονομασία Υπουργείων, μεταφορά και κατάργηση υπηρεσιών», όπως τροποποιήθηκε από το π.δ. 94/2012(ΦΕΚ 149 Α’), το π.δ 98/2012 (ΦΕΚ 160/Α’) και το π.δ. 118/2013 (ΦΕΚ 152/Α’). ε. του π.δ. 119/2013 (ΦΕΚ 153/Α’) «Διορισμός Αντιπροέδρου της Κυβέρνησης, Υπουργών, Αναπλ. Υπουργών και Υφυπουργών» και του π.δ. 87/2012 (ΦΕΚ 142/Α’) «Διορισμός Υφυπουργών».</w:t>
      </w:r>
    </w:p>
    <w:p>
      <w:pPr>
        <w:pStyle w:val="PreambelText"/>
        <w:spacing w:before="240" w:after="240"/>
        <w:rPr>
          <w:lang w:val="el" w:eastAsia="el"/>
        </w:rPr>
      </w:pPr>
      <w:r>
        <w:rPr>
          <w:lang w:val="el" w:eastAsia="el"/>
        </w:rPr>
        <w:t>στ. του π.δ. 117/2012 (ΦΕΚ 202/Α’) «Σύσταση, συγχώνευση και μετονομασία Γενικών Γραμματειών του Υπουργείου Ανάπτυξης, Ανταγωνιστικότητας, Υποδομών, Μεταφορών και Δικτύων.</w:t>
      </w:r>
    </w:p>
    <w:p>
      <w:pPr>
        <w:pStyle w:val="PreambelText"/>
        <w:spacing w:before="240" w:after="240"/>
        <w:rPr>
          <w:lang w:val="el" w:eastAsia="el"/>
        </w:rPr>
      </w:pPr>
      <w:r>
        <w:rPr>
          <w:lang w:val="el" w:eastAsia="el"/>
        </w:rPr>
        <w:t>ζ. της υπ’ αριθμ. ΥΠΟΙΚ 07927ΕΞ απόφασης του Πρωθυπουργού και Υπουργού Οικονομικών (ΦΕΚ 2574/Β’), ανάθεσης αρμοδιοτήτων στον Υφυπουργό Οικονομικών Γεώργιο Μαυραγάνη.</w:t>
      </w:r>
    </w:p>
    <w:p>
      <w:pPr>
        <w:pStyle w:val="PreambelText"/>
        <w:spacing w:before="240" w:after="240"/>
        <w:rPr>
          <w:lang w:val="el" w:eastAsia="el"/>
        </w:rPr>
      </w:pPr>
      <w:r>
        <w:rPr>
          <w:lang w:val="el" w:eastAsia="el"/>
        </w:rPr>
        <w:t>η. της υπ’ αριθμ. 329/3-7-2013 απόφασης του Πρωθυπουργού (ΦΕΚ 1655/Β’) «Καθορισμός αρμοδιοτήτων του Υφυπουργού Υποδομών, Μεταφορών και Δικτύων Μιχαήλ Παπαδόπουλου».</w:t>
      </w:r>
    </w:p>
    <w:p>
      <w:pPr>
        <w:pStyle w:val="PreambelText"/>
        <w:spacing w:before="240" w:after="240"/>
        <w:rPr>
          <w:lang w:val="el" w:eastAsia="el"/>
        </w:rPr>
      </w:pPr>
      <w:r>
        <w:rPr>
          <w:lang w:val="el" w:eastAsia="el"/>
        </w:rPr>
        <w:t>θ. της υπ’ αριθμ. 52167/4683/2012 κοινής υπουργικής απόφασης (ΦΕΚ 37/Β’) «Προσαρμογή της Ελληνικής νομοθεσίας προς τις διατάξεις της Οδηγίας 61/2010/ΕΕ της Επιτροπής της 2ας Σεπτεμβρίου 2010 για την πρώτη προσαρμογή στην επιστημονική και τεχνική πρόοδο των παραρτημάτων της οδηγίας 2008/68/ΕΚ του Ευρωπαϊκού Κοινοβουλίου και του Συμβουλίου, σχετικά με τις εσωτερικές μεταφορές επικίνδυνων εμπορευμάτων».</w:t>
      </w:r>
    </w:p>
    <w:p>
      <w:pPr>
        <w:pStyle w:val="PreambelText"/>
        <w:spacing w:before="240" w:after="240"/>
        <w:rPr>
          <w:lang w:val="el" w:eastAsia="el"/>
        </w:rPr>
      </w:pPr>
      <w:r>
        <w:rPr>
          <w:lang w:val="el" w:eastAsia="el"/>
        </w:rPr>
        <w:t>2. Την ανάγκη τροποποίησης της υπ’ αριθμ. οικ. 48941/ 3564/16-11-2012 κοινής υπουργικής απόφασης «Τοποθέτηση ηλεκτρονικού συστήματος εντοπισμού θέσης (GPS) σε μεταφορικά μέσα πετρελαιοειδών προϊόντων» (ΦΕΚ 3052/Β’) λόγω του γεγονότος ότι δεν έχει λειτουργήσει πλήρως το κέντρο ελέγχου της αρμόδιας ελεγκτικής αρχής.</w:t>
      </w:r>
    </w:p>
    <w:p>
      <w:pPr>
        <w:pStyle w:val="PreambelText"/>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τελευταίο εδάφιο της παραγράφου 2 του άρθρου 2 της υπ’ αριθμ. οικ. 48941/3564/16-11-2012 κοινής υπουργικής απόφασης «Τοποθέτηση ηλεκτρονικού συστήματος εντοπισμού θέσης (GPS) σε μεταφορικά μέσα πετρελαιοειδών προϊόντων» (ΦΕΚ 3052/Β’) τροποποιείται ως εξής : «Η καταληκτική ημερομηνία εφαρμογής της παρούσης απόφασης και της αξιοποίησης των στοιχείων από την εγκατάσταση και λειτουργία των συστημάτων της παρούσης, επεκτείνεται για ένα εξάμηνο από την ανακοίνωση της ημερομηνίας ανάληψης του κέντρου λήψης σημάτων GPS από το Υπουργείο Οικονομικών».</w:t>
      </w:r>
    </w:p>
    <w:p>
      <w:pPr>
        <w:spacing w:before="240" w:after="240"/>
        <w:rPr>
          <w:lang w:val="el" w:eastAsia="el"/>
        </w:rPr>
      </w:pPr>
      <w:r>
        <w:rPr>
          <w:lang w:val="el" w:eastAsia="el"/>
        </w:rPr>
        <w:t>Κατά τα λοιπά ισχύει η προαναφερόμενη απόφαση ως έχει.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24 Ιουλίου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OIKONOΜΙΚΩΝ ΑΝΑΠΤΥΞΗΣ ΚΑΙ ΑΝΤΑΓΩΝΙΣΤΙΚΟΤΗΤΑΣ ΓΕΩΡΓΙΟΣΜΑΥΡΑΓΑΝΗΣ ΚΩΝΣΤΑΝΤΙΝΟΣΧΑΤΖΗΔΑΚΗΣ</w:t>
      </w:r>
    </w:p>
    <w:p>
      <w:pPr>
        <w:spacing w:before="240" w:after="240"/>
        <w:rPr>
          <w:lang w:val="el" w:eastAsia="el"/>
        </w:rPr>
      </w:pPr>
      <w:r>
        <w:rPr>
          <w:lang w:val="el" w:eastAsia="el"/>
        </w:rPr>
        <w:t>ΥΦΥΠΟΥΡΓΟΣ</w:t>
      </w:r>
    </w:p>
    <w:p>
      <w:pPr>
        <w:spacing w:before="240" w:after="240"/>
        <w:rPr>
          <w:lang w:val="el" w:eastAsia="el"/>
        </w:rPr>
      </w:pPr>
      <w:r>
        <w:rPr>
          <w:lang w:val="el" w:eastAsia="el"/>
        </w:rPr>
        <w:t>ΥΠΟΔΟΜΩΝ, ΜΕΤΑΦΟΡΩΝ ΚΑΙ ΔΙΚΤΥΩΝ ΝΑΥΤΙΛΙΑΣ ΚΑΙ ΑΙΓΑΙΟΥ</w:t>
      </w:r>
    </w:p>
    <w:p>
      <w:pPr>
        <w:spacing w:before="240" w:after="240"/>
        <w:rPr>
          <w:lang w:val="el" w:eastAsia="el"/>
        </w:rPr>
      </w:pPr>
      <w:r>
        <w:rPr>
          <w:b/>
          <w:bCs/>
          <w:lang w:val="el" w:eastAsia="el"/>
        </w:rPr>
        <w:t>ΜΙΧΑΗΛΠΑΠΑΔΟΠΟΥΛΟΣ ΜΙΛΤΙΑΔΗΣΒΑΡΒΙΤΣΙΩΤΗΣ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