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ΠΟΛ. 1183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Παράταση προθεσμίας υποβολής των περιοδικών δηλώσεων Φ.Π.Α. που η καταληκτική ημερομηνία υποβολής τους είναι η 22.7.2013.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ακόλουθες διατάξεις του Κώδικα ΦΠΑ (κύρωση με το ν.2859/2000 - ΦΕΚ 248 Α’/7.11.2000), όπως ισχύουν: α) της παραγράφου 9 περίπτωση α’ του άρθρου 36, β) των παραγράφων, 1 περίπτωση α’ και 11 του άρθρου 38,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της παραγράφου 2 του άρθρου 59, δ) της παραγράφου 3 του άρθρου 64.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άρθρου 12 του ν.2362/1995 (ΦΕΚ 247 Α’/27.11.1995) και του Π.Δ. 16/1989 (ΦΕΚ 6 Α’/5.1.1989), περί αποδεικτικών εισπράξεως.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των ΑΥΟ ΠΟΛ 1267/2011 (ΦΕΚ 44Β’/23.1.2012) «Χρόνος και τρόπος υποβολής της περιοδικής δήλωσης ΦΠΑ» και ΠΟΛ 1129/2013 (ΦΕΚ 1365 Β’/4.6.2013) «Τροποποίηση του χρόνου υποβολής της περιοδικής δήλωσης ΦΠΑ και του περιεχομένου του εντύπου 050– ΦΠΑ ΕΚΔΟΣΗ 2η 2011, Φ2 TAXIS».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υπ’ αριθμ. ΥΠΟΙΚ 07927 ΕΞ (ΦΕΚ 2574 Β’/24.9.2012) απόφαση του Πρωθυπουργού και του Υπουργού Οικονομικών «Ανάθεση αρμοδιοτήτων στον Υφυπουργό Οικονομικών Γεώργιο Μαυραγάνη».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ανάγκη διευκόλυνσης των υποκειμένων στο Φόρο Προστιθέμενης Αξίας για την καταβολή του χρεωστικού υπολοίπου των περιοδικών δηλώσεων, λόγω τεχνικών προβλημάτων στην ηλεκτρονική υποβολή τους κατά την 22.7.2013.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από τις διατάξεις της Απόφασης αυτής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Παρατείνουμε την προθεσμία υποβολής των περιοδικών δηλώσεων Φ.Π.Α. που η καταληκτική ημερομηνία υποβολής τους είναι η 22η Ιουλίου 2013 μέχρι και την 24η Ιουλίου 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που ισχύει από την έκδοσή της,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22 Ιουλίου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ΜΑΥΡΑΓΑΝΗΣ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