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Δ6Α 1124384 ΕΞ 2013</w:t>
      </w:r>
    </w:p>
    <w:p>
      <w:pPr>
        <w:spacing w:before="240" w:after="240"/>
        <w:rPr>
          <w:lang w:val="el" w:eastAsia="el"/>
        </w:rPr>
      </w:pPr>
      <w:r>
        <w:rPr>
          <w:lang w:val="el" w:eastAsia="el"/>
        </w:rPr>
        <w:t>Κατανομή των θέσεων Ελεγκτών Βεβαίωσης και Αναγκαστικής Είσπραξης των Εσόδων του Κράτους της Ειδικής Γραμματείας του Σώματος Δίωξης Οικονομικού Εγκλήματος (Σ.Δ.Ο.Ε.) στις Επιχειρησιακές και στις Περιφερειακές Διευθύνσεις αυτής.</w:t>
      </w:r>
    </w:p>
    <w:p>
      <w:pPr>
        <w:spacing w:before="240" w:after="240"/>
        <w:rPr>
          <w:lang w:val="el" w:eastAsia="el"/>
        </w:rPr>
      </w:pPr>
      <w:r>
        <w:rPr>
          <w:b/>
          <w:bCs/>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30 του ν. 3296/2004 (Α’253) «Φορολογία εισοδήματος φυσικών και νομικών προσώπων, φορολογικοί έλεγχοι και άλλες διατάξεις».</w:t>
      </w:r>
    </w:p>
    <w:p>
      <w:pPr>
        <w:pStyle w:val="StructureList1"/>
        <w:spacing w:before="120" w:after="0"/>
        <w:rPr>
          <w:lang w:val="el" w:eastAsia="el"/>
        </w:rPr>
      </w:pPr>
      <w:r>
        <w:rPr>
          <w:lang w:val="el" w:eastAsia="el"/>
        </w:rPr>
        <w:t>β)</w:t>
      </w:r>
      <w:r>
        <w:rPr>
          <w:lang w:val="en" w:eastAsia="en"/>
        </w:rPr>
        <w:tab/>
      </w:r>
      <w:r>
        <w:rPr>
          <w:lang w:val="el" w:eastAsia="el"/>
        </w:rPr>
        <w:t>Του π.δ. 85/2005 (Α’122) «Οργάνωση της Υπηρεσίας Ειδικών Ελέγχων (ΥΠ.Ε.Ε.) του Υπουργείου Οικονομίας και Οικονομικών».</w:t>
      </w:r>
    </w:p>
    <w:p>
      <w:pPr>
        <w:pStyle w:val="StructureList1"/>
        <w:spacing w:before="120" w:after="0"/>
        <w:rPr>
          <w:lang w:val="el" w:eastAsia="el"/>
        </w:rPr>
      </w:pPr>
      <w:r>
        <w:rPr>
          <w:lang w:val="el" w:eastAsia="el"/>
        </w:rPr>
        <w:t>γ)</w:t>
      </w:r>
      <w:r>
        <w:rPr>
          <w:lang w:val="en" w:eastAsia="en"/>
        </w:rPr>
        <w:tab/>
      </w:r>
      <w:r>
        <w:rPr>
          <w:lang w:val="el" w:eastAsia="el"/>
        </w:rPr>
        <w:t>Του άρθρου 88 του ν. 3842/2010 (Α’58) «Αποκατάσταση φορολογικής δικαιοσύνης, αντιμετώπιση της φοροδιαφυγής και άλλες διατάξεις».</w:t>
      </w:r>
    </w:p>
    <w:p>
      <w:pPr>
        <w:pStyle w:val="StructureList1"/>
        <w:spacing w:before="120" w:after="0"/>
        <w:rPr>
          <w:lang w:val="el" w:eastAsia="el"/>
        </w:rPr>
      </w:pPr>
      <w:r>
        <w:rPr>
          <w:lang w:val="el" w:eastAsia="el"/>
        </w:rPr>
        <w:t>δ)</w:t>
      </w:r>
      <w:r>
        <w:rPr>
          <w:lang w:val="en" w:eastAsia="en"/>
        </w:rPr>
        <w:tab/>
      </w:r>
      <w:r>
        <w:rPr>
          <w:lang w:val="el" w:eastAsia="el"/>
        </w:rPr>
        <w:t>Της παρ. 4 του άρθρου 19 του ν. 2443/1996 (Α’265) «Τροποποίηση και συμπλήρωση του Τελωνειακού Κώδικα και άλλες διατάξεις».</w:t>
      </w:r>
    </w:p>
    <w:p>
      <w:pPr>
        <w:pStyle w:val="StructureList1"/>
        <w:spacing w:before="120" w:after="0"/>
        <w:rPr>
          <w:lang w:val="el" w:eastAsia="el"/>
        </w:rPr>
      </w:pPr>
      <w:r>
        <w:rPr>
          <w:lang w:val="el" w:eastAsia="el"/>
        </w:rPr>
        <w:t>ε)</w:t>
      </w:r>
      <w:r>
        <w:rPr>
          <w:lang w:val="en" w:eastAsia="en"/>
        </w:rPr>
        <w:tab/>
      </w:r>
      <w:r>
        <w:rPr>
          <w:lang w:val="el" w:eastAsia="el"/>
        </w:rPr>
        <w:t>Του άρθρου 4 του Ν. 3943/2011 (Α’66) «Καταπολέμηση της φοροδιαφυγής, στελέχωση των ελεγκτικών υπηρεσιών και άλλες διατάξεις αρμοδιότητας Υπουργείου Οικονομικών», όπως τροποποιήθηκε και ισχύει.</w:t>
      </w:r>
    </w:p>
    <w:p>
      <w:pPr>
        <w:pStyle w:val="StructureList1"/>
        <w:spacing w:before="120" w:after="0"/>
        <w:rPr>
          <w:lang w:val="el" w:eastAsia="el"/>
        </w:rPr>
      </w:pPr>
      <w:r>
        <w:rPr>
          <w:lang w:val="el" w:eastAsia="el"/>
        </w:rPr>
        <w:t>στ)</w:t>
      </w:r>
      <w:r>
        <w:rPr>
          <w:lang w:val="en" w:eastAsia="en"/>
        </w:rPr>
        <w:tab/>
      </w:r>
      <w:r>
        <w:rPr>
          <w:lang w:val="el" w:eastAsia="el"/>
        </w:rPr>
        <w:t>Του δεύτερου εδαφίου της παρ. 8γ του άρθρου 34 του ν. 4141/2013 (Α’ 81) «Επενδυτικά εργαλεία ανάπτυξης, παροχή πιστώσεων και άλλες διατάξεις», όπως συμπληρώθηκε με τις διατάξεις της περίπτωσης 8 της υποπαραγράφου Δ.1 της παραγράφου Δ’ του άρθρου πρώτου του ν. 4152/2013 (Α’ 107) «Επείγοντα μέτρα εφαρμογής των νόμων 4046/2012, 4093/2012 και 4127/2013.».</w:t>
      </w:r>
    </w:p>
    <w:p>
      <w:pPr>
        <w:pStyle w:val="StructureList1"/>
        <w:spacing w:before="120" w:after="0"/>
        <w:rPr>
          <w:lang w:val="el" w:eastAsia="el"/>
        </w:rPr>
      </w:pPr>
      <w:r>
        <w:rPr>
          <w:lang w:val="el" w:eastAsia="el"/>
        </w:rPr>
        <w:t>ζ)</w:t>
      </w:r>
      <w:r>
        <w:rPr>
          <w:lang w:val="en" w:eastAsia="en"/>
        </w:rPr>
        <w:tab/>
      </w:r>
      <w:r>
        <w:rPr>
          <w:lang w:val="el" w:eastAsia="el"/>
        </w:rPr>
        <w:t>του π.δ. 185/2009 (Α’ 213) «Ανασύσταση του Υπουργείου Οικονομικών, συγχώνευση του Υπουργείου Οικονομίας και Οικονομικών με τα Υπουργεία Ανάπτυξης και Εμπορικής Ναυτιλίας, Αιγαίου και Νησιωτικής Πολιτικής και μετονομασία του σε Υπουργείο Οικονομίας, Ανταγωνιστικότητας και Ναυτιλίας» και του π.δ. 189/2009 (Α’221) Καθορισμός και ανακατανομή αρμοδιοτήτων των Υπουργείων».</w:t>
      </w:r>
    </w:p>
    <w:p>
      <w:pPr>
        <w:pStyle w:val="StructureList1"/>
        <w:spacing w:before="120" w:after="0"/>
        <w:rPr>
          <w:lang w:val="el" w:eastAsia="el"/>
        </w:rPr>
      </w:pPr>
      <w:r>
        <w:rPr>
          <w:lang w:val="el" w:eastAsia="el"/>
        </w:rPr>
        <w:t>η)</w:t>
      </w:r>
      <w:r>
        <w:rPr>
          <w:lang w:val="en" w:eastAsia="en"/>
        </w:rPr>
        <w:tab/>
      </w:r>
      <w:r>
        <w:rPr>
          <w:lang w:val="el" w:eastAsia="el"/>
        </w:rPr>
        <w:t>της υποπαραγράφου Ε.2 της παραγράφου Ε’ του άρθρου πρώτου του ν. 4093/2012 (Α’ 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όπως ισχύει.</w:t>
      </w:r>
    </w:p>
    <w:p>
      <w:pPr>
        <w:pStyle w:val="StructureList1"/>
        <w:spacing w:before="120" w:after="0"/>
        <w:rPr>
          <w:lang w:val="el" w:eastAsia="el"/>
        </w:rPr>
      </w:pPr>
      <w:r>
        <w:rPr>
          <w:lang w:val="el" w:eastAsia="el"/>
        </w:rPr>
        <w:t>θ)</w:t>
      </w:r>
      <w:r>
        <w:rPr>
          <w:lang w:val="en" w:eastAsia="en"/>
        </w:rPr>
        <w:tab/>
      </w:r>
      <w:r>
        <w:rPr>
          <w:lang w:val="el" w:eastAsia="el"/>
        </w:rPr>
        <w:t>του άρθρου 90 του Κώδικα που κυρώθηκε με το «άρθρο πρώτο» του Π.Δ. 63/2005 «Κωδικοποίηση της νομοθεσίας για την Κυβέρνηση και τα Κυβερνητικά Όργανα» (Α’ 98).</w:t>
      </w:r>
    </w:p>
    <w:p>
      <w:pPr>
        <w:pStyle w:val="StructureList1"/>
        <w:spacing w:before="120" w:after="0"/>
        <w:rPr>
          <w:lang w:val="el" w:eastAsia="el"/>
        </w:rPr>
      </w:pPr>
      <w:r>
        <w:rPr>
          <w:lang w:val="el" w:eastAsia="el"/>
        </w:rPr>
        <w:t>ι)</w:t>
      </w:r>
      <w:r>
        <w:rPr>
          <w:lang w:val="en" w:eastAsia="en"/>
        </w:rPr>
        <w:tab/>
      </w:r>
      <w:r>
        <w:rPr>
          <w:lang w:val="el" w:eastAsia="el"/>
        </w:rPr>
        <w:t>της αριθ. Δ6Α 1153411ΕΞ2011/9-11-2011 (Β’2656) κοινής υπουργικής απόφασης «Καθορισμός του αριθμού των θέσεων των Ελεγκτών Βεβαίωσης και Αναγκαστικής Είσπραξης των Εσόδων του Κράτους και των υπηρεσιακών μονάδων στις οποίες κατανέμονται, των προσόντων, των συντελεστών βαρύτητας, του τρόπου και της διαδικασίας της αξιολόγησης των υποψηφίων για τις θέσεις αυτές, καθώς και των όρων του Συμβολαίου Αποδοτικότητας των ιδίων και των Προϊσταμένων αυτών», όπως τροποποιήθηκε με τις αριθ. Δ6Α 1010592ΕΞ2011/19-1-2012 (Β’62 και 390) και Δ6Α 1028842 ΕΞ 2013/19-2-2013 (Β’ 486) όμοιες.</w:t>
      </w:r>
    </w:p>
    <w:p>
      <w:pPr>
        <w:pStyle w:val="StructureList1"/>
        <w:spacing w:before="120" w:after="0"/>
        <w:rPr>
          <w:lang w:val="el" w:eastAsia="el"/>
        </w:rPr>
      </w:pPr>
      <w:r>
        <w:rPr>
          <w:lang w:val="el" w:eastAsia="el"/>
        </w:rPr>
        <w:t>ια)</w:t>
      </w:r>
      <w:r>
        <w:rPr>
          <w:lang w:val="en" w:eastAsia="en"/>
        </w:rPr>
        <w:tab/>
      </w:r>
      <w:r>
        <w:rPr>
          <w:lang w:val="el" w:eastAsia="el"/>
        </w:rPr>
        <w:t>της αριθ. Δ6Α 1105740 ΕΞ 2013/1-7-2013 (Β’ 1634) απόφασης του Υπουργού Οικονομικών «Κατανομή των θέσεων Ελεγκτών Βεβαίωσης και Αναγκαστικής Είσπραξης των Εσόδων του Κράτους, μεταξύ της Γενικής Γραμματείας Δημοσίων Εσόδων και της Ειδικής Γραμματείας του Σώματος Δίωξης Οικονομικού Εγκλήματος (Σ.Δ.Ο.Ε.), για την στελέχωση των οργανικών τους μονάδων».</w:t>
      </w:r>
    </w:p>
    <w:p>
      <w:pPr>
        <w:pStyle w:val="StructureList1"/>
        <w:spacing w:before="120" w:after="0"/>
        <w:rPr>
          <w:lang w:val="el" w:eastAsia="el"/>
        </w:rPr>
      </w:pPr>
      <w:r>
        <w:rPr>
          <w:lang w:val="el" w:eastAsia="el"/>
        </w:rPr>
        <w:t>ιβ)</w:t>
      </w:r>
      <w:r>
        <w:rPr>
          <w:lang w:val="en" w:eastAsia="en"/>
        </w:rPr>
        <w:tab/>
      </w:r>
      <w:r>
        <w:rPr>
          <w:lang w:val="el" w:eastAsia="el"/>
        </w:rPr>
        <w:t>Το αριθμ. 1014/03-07-2013 έγγραφο του Ειδικού Γραμματέα του Σ.Δ.Ο.Ε.</w:t>
      </w:r>
    </w:p>
    <w:p>
      <w:pPr>
        <w:spacing w:before="240" w:after="240"/>
        <w:rPr>
          <w:lang w:val="el" w:eastAsia="el"/>
        </w:rPr>
      </w:pPr>
      <w:r>
        <w:rPr>
          <w:lang w:val="el" w:eastAsia="el"/>
        </w:rPr>
        <w:t>2. Την υπηρεσιακή ανάγκη κατανομής των θέσεων Ελεγκτών Βεβαίωσης και Αναγκαστικής Είσπραξης των Εσόδων του Κράτους, στις Περιφερειακές Διευθύνσεις και στις Επιχειρησιακές Διευθύνσεις Ειδικών Υποθέσεων της Ειδικής Γραμματείας του Σώματος Δίωξης Οικονομικού Εγκλήματος (Σ.Δ.Ο.Ε.).</w:t>
      </w:r>
    </w:p>
    <w:p>
      <w:pPr>
        <w:spacing w:before="240" w:after="240"/>
        <w:rPr>
          <w:lang w:val="el" w:eastAsia="el"/>
        </w:rPr>
      </w:pPr>
      <w:r>
        <w:rPr>
          <w:lang w:val="el" w:eastAsia="el"/>
        </w:rPr>
        <w:t>3. Το γεγονός ότι, από τις διατάξεις της παρούσας απόφασης δεν προκαλείται δαπάνη σε βάρος του Κρατικού Προϋπολογισμού, αποφασίζουμε:</w:t>
      </w:r>
    </w:p>
    <w:p>
      <w:pPr>
        <w:spacing w:before="240" w:after="240"/>
        <w:rPr>
          <w:lang w:val="el" w:eastAsia="el"/>
        </w:rPr>
      </w:pPr>
      <w:r>
        <w:rPr>
          <w:lang w:val="el" w:eastAsia="el"/>
        </w:rPr>
        <w:t>Α. Κατανέμουμε τις τριακόσιες εξήντα (360) θέσεις Ελεγκτών Βεβαίωσης και Αναγκαστικής Είσπραξης των Εσόδων του Κράτους, που έχουν κατανεμηθεί στην Ειδική Γραμματεία του Σώματος Δίωξης Οικονομικού Εγκλήματος (Σ.Δ.Ο.Ε.), με την αριθμ. Δ6Α 1105740 ΕΞ 2013/ 1-7-2013 (Β’ 1634) απόφασή μας, στις κατωτέρω υπηρεσίες αυτής: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2975"/>
        <w:gridCol w:w="56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ΘΕΣΕΩΝ ΥΠΑΛΛΗΛΩΝ ΠΕ, ΤΕ ή ΔΕ ΚΑΤΗΓΟΡΙΑΣ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ΕΠΙΧΕΙΡΗΣΙΑΚΗ ΔΙΕΥΘΥΝΣΗ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ΕΙΔΙΚΩΝ ΥΠΟΘΕΣΕΩΝ</w:t>
            </w:r>
          </w:p>
          <w:p>
            <w:pPr>
              <w:spacing w:before="240"/>
              <w:rPr>
                <w:b w:val="0"/>
                <w:bCs w:val="0"/>
                <w:i w:val="0"/>
                <w:iCs w:val="0"/>
                <w:smallCaps w:val="0"/>
                <w:color w:val="000000"/>
                <w:lang w:val="el" w:eastAsia="el"/>
              </w:rPr>
            </w:pPr>
            <w:r>
              <w:rPr>
                <w:b w:val="0"/>
                <w:bCs w:val="0"/>
                <w:i w:val="0"/>
                <w:iCs w:val="0"/>
                <w:smallCaps w:val="0"/>
                <w:color w:val="000000"/>
                <w:lang w:val="el" w:eastAsia="el"/>
              </w:rPr>
              <w:t>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ΕΠΙΧΕΙΡΗΣΙΑΚΗ ΔΙΕΥΘΥΝΣΗ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ΕΙΔΙΚΩΝ ΥΠΟΘΕΣΕΩΝ</w:t>
            </w:r>
          </w:p>
          <w:p>
            <w:pPr>
              <w:spacing w:before="240"/>
              <w:rPr>
                <w:b w:val="0"/>
                <w:bCs w:val="0"/>
                <w:i w:val="0"/>
                <w:iCs w:val="0"/>
                <w:smallCaps w:val="0"/>
                <w:color w:val="000000"/>
                <w:lang w:val="el" w:eastAsia="el"/>
              </w:rPr>
            </w:pPr>
            <w:r>
              <w:rPr>
                <w:b w:val="0"/>
                <w:bCs w:val="0"/>
                <w:i w:val="0"/>
                <w:iCs w:val="0"/>
                <w:smallCaps w:val="0"/>
                <w:color w:val="000000"/>
                <w:lang w:val="el" w:eastAsia="el"/>
              </w:rPr>
              <w:t>ΘΕΣΣΑΛΟΝΙΚΗΣ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7948"/>
        <w:gridCol w:w="7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ΠΕΡΙΦΕΡΕΙΑΚΗ ΔΙΕΥΘΥΝΣΗ 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ΠΕΡΙΦΕΡΕΙΑΚΗ ΔΙΕΥΘΥΝΣΗ ΑΝΑΤΟΛΙΚΗΣ ΜΑΚΕΔΟΝΙΑΣ ΚΑΙ 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ΠΕΡΙΦΕΡΕΙΑΚΗ ΔΙΕΥΘΥΝΣΗ 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ΠΕΡΙΦΕΡΕΙΑΚΗ ΔΙΕΥΘΥΝΣΗ ΔΥΤΙΚΗΣ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ΠΕΡΙΦΕΡΕΙΑΚΗ ΔΙΕΥΘΥΝΣΗ 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ΠΕΡΙΦΕΡΕΙΑΚΗ ΔΙΕΥΘΥΝΣΗ 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ΠΕΡΙΦΕΡΕΙΑΚΗ ΔΙΕΥΘΥΝΣΗ ΣΤΕΡΕΑΣ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ΠΕΡΙΦΕΡΕΙΑΚΗ ΔΙΕΥΘΥΝΣΗ 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ΠΕΡΙΦΕΡΕΙΑΚΗ ΔΙΕΥΘΥΝΣΗ 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ΠΕΡΙΦΕΡΕΙΑΚΗ ΔΙΕΥΘΥΝΣΗ 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ΠΕΡΙΦΕΡΕΙΑΚΗ ΔΙΕΥΘΥΝΣΗ ΙΟΝΙΩΝ ΝΗΣΩΝ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ΠΕΡΙΦΕΡΕΙΑΚΗ ΔΙΕΥΘΥΝΣΗ ΒΟΡΕΙΟΥ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ΠΕΡΙΦΕΡΕΙΑΚΗ ΔΙΕΥΘΥΝΣΗ ΝΟΤΙΟΥ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w:t>
            </w:r>
          </w:p>
        </w:tc>
      </w:tr>
    </w:tbl>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7 Αυγούστου 2013</w:t>
      </w:r>
    </w:p>
    <w:p>
      <w:pPr>
        <w:spacing w:before="240" w:after="240"/>
        <w:rPr>
          <w:lang w:val="el" w:eastAsia="el"/>
        </w:rPr>
      </w:pPr>
      <w:r>
        <w:rPr>
          <w:lang w:val="el" w:eastAsia="el"/>
        </w:rPr>
        <w:t>Ο ΥΠΟΥΡΓΟΣ</w:t>
      </w:r>
    </w:p>
    <w:p>
      <w:pPr>
        <w:spacing w:before="240" w:after="240"/>
        <w:rPr>
          <w:lang w:val="el" w:eastAsia="el"/>
        </w:rPr>
      </w:pPr>
      <w:r>
        <w:rPr>
          <w:b/>
          <w:bCs/>
          <w:lang w:val="el" w:eastAsia="el"/>
        </w:rPr>
        <w:t>ΙΩΑΝΝΗΣ ΣΤΟΥΡΝΑΡΑΣ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