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Δ18Α 5030908 ΕΞ2013</w:t>
      </w:r>
    </w:p>
    <w:p>
      <w:pPr>
        <w:pStyle w:val="PreambelText"/>
        <w:spacing w:before="240" w:after="240"/>
        <w:rPr>
          <w:lang w:val="el" w:eastAsia="el"/>
        </w:rPr>
      </w:pPr>
      <w:r>
        <w:rPr>
          <w:lang w:val="el" w:eastAsia="el"/>
        </w:rPr>
        <w:t>Παραλαβή καυσίμων από την Πολυεθνική Ειρηνευτική Δύναμη Νοτιοανατολικής Ευρώπης (ΜPFSEE) – Ταξιαρχία Νοτιοανατολικής Ευρώπης (SEEBRIG) και τα μέλη αυτής με απαλλαγή από τον Ειδικό Φόρο Κατανάλωσης από ελεύθερα αποθέματα (φορολογημένα) με συμψηφισμό για την κίνηση των αυτοκινήτων οχημάτων της.</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2785/2000 (ΦΕΚ 3/Α’) «Κύρωση του Συμφώνου για την Πολυεθνική Ειρηνευτική Δύναμη Νοτιοανατολικής Ευρώπης και του Πρόσθετου Πρωτοκόλλου στο Σύμφωνο» και ειδικότερα του άρθρου Χ παράγραφος 3δ) της Συμφωνίας, καθώς και των άρθρων V παράγραφος 13 περίπτωση δ) και VI παράγραφος 1 του Παραρτήματος Δ’ της ιδίας Συμφωνίας.</w:t>
      </w:r>
    </w:p>
    <w:p>
      <w:pPr>
        <w:pStyle w:val="PreambelText"/>
        <w:spacing w:before="240" w:after="240"/>
        <w:rPr>
          <w:lang w:val="el" w:eastAsia="el"/>
        </w:rPr>
      </w:pPr>
      <w:r>
        <w:rPr>
          <w:lang w:val="el" w:eastAsia="el"/>
        </w:rPr>
        <w:t>2) Τις διατάξεις του άρθρου 11 παράγραφος 11 του ν. 2799/1954 (ΦΕΚ 63/Α’) «Περί κυρώσεως της εν Λονδίνω υπογραφείσης την 19</w:t>
      </w:r>
      <w:r>
        <w:rPr>
          <w:sz w:val="30"/>
          <w:szCs w:val="30"/>
          <w:vertAlign w:val="superscript"/>
          <w:lang w:val="el" w:eastAsia="el"/>
        </w:rPr>
        <w:t>η</w:t>
      </w:r>
      <w:r>
        <w:rPr>
          <w:lang w:val="el" w:eastAsia="el"/>
        </w:rPr>
        <w:t xml:space="preserve"> Ιουνίου 1951 Συμβάσεως μεταξύ Κρατών - Μελών της Συνθήκης του Βορείου Ατλαντι-</w:t>
      </w:r>
    </w:p>
    <w:p>
      <w:pPr>
        <w:pStyle w:val="PreambelText"/>
        <w:spacing w:before="240" w:after="240"/>
        <w:rPr>
          <w:lang w:val="el" w:eastAsia="el"/>
        </w:rPr>
      </w:pPr>
      <w:r>
        <w:rPr>
          <w:lang w:val="el" w:eastAsia="el"/>
        </w:rPr>
        <w:t>11 Σεπτεμβρίου 2013 κού επί του νομικού καθεστώτος των δυνάμεων αυτών και του εν Παρισίοις υπογραφέντος την 28</w:t>
      </w:r>
      <w:r>
        <w:rPr>
          <w:sz w:val="30"/>
          <w:szCs w:val="30"/>
          <w:vertAlign w:val="superscript"/>
          <w:lang w:val="el" w:eastAsia="el"/>
        </w:rPr>
        <w:t>η</w:t>
      </w:r>
      <w:r>
        <w:rPr>
          <w:lang w:val="el" w:eastAsia="el"/>
        </w:rPr>
        <w:t xml:space="preserve"> Αυγούστου 1952 Πρωτοκόλλου επί του νομικού καθεστώτος των διεθνών στρατιωτικών Αρχηγείων των εγκαθιδρυομένων συμφώνως προς τη Συνθήκη του Βορείου Ατλαντικού».</w:t>
      </w:r>
    </w:p>
    <w:p>
      <w:pPr>
        <w:pStyle w:val="PreambelText"/>
        <w:spacing w:before="240" w:after="240"/>
        <w:rPr>
          <w:lang w:val="el" w:eastAsia="el"/>
        </w:rPr>
      </w:pPr>
      <w:r>
        <w:rPr>
          <w:lang w:val="el" w:eastAsia="el"/>
        </w:rPr>
        <w:t>3) Τις διατάξεις του άρθρου 68 παράγραφος 1γ) και παράγραφος 4 του ν. 2960/2001 «Εθνικός Τελωνειακός Κώδικας» (ΦΕΚ 265/Α’), με τις οποίες έχουν ενσωματωθεί στην εθνική νομοθεσία οι διατάξεις του άρθρου 12 παράγραφος 1 περίπτωση γ) της Οδηγίας 2008/118/ΕΚ.</w:t>
      </w:r>
    </w:p>
    <w:p>
      <w:pPr>
        <w:pStyle w:val="PreambelText"/>
        <w:spacing w:before="240" w:after="240"/>
        <w:rPr>
          <w:lang w:val="el" w:eastAsia="el"/>
        </w:rPr>
      </w:pPr>
      <w:r>
        <w:rPr>
          <w:lang w:val="el" w:eastAsia="el"/>
        </w:rPr>
        <w:t>4) Την αριθμ. 25/2013 Γνωμοδότηση του Νομικού Συμβουλίου του Κράτους που έγινε δεκτή από τον αρμόδιο Γενικό Γραμματέα της Γενικής Γραμματείας Δημοσίων Εσόδων του Υπουργείου Οικονομικών.</w:t>
      </w:r>
    </w:p>
    <w:p>
      <w:pPr>
        <w:pStyle w:val="PreambelText"/>
        <w:spacing w:before="240" w:after="240"/>
        <w:rPr>
          <w:lang w:val="el" w:eastAsia="el"/>
        </w:rPr>
      </w:pPr>
      <w:r>
        <w:rPr>
          <w:lang w:val="el" w:eastAsia="el"/>
        </w:rPr>
        <w:t>5) Το Π.Δ. 185/2009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υπαγωγή στο Υπουργείο Εσωτερικών της Γενικής Γραμματείας Μακεδονίας – Θράκης και της Γενικής Γραμματείας Αιγαίου και Νησιωτικής Πολιτικής» (ΦΕΚ 213/Α’), καθώς και το Π.Δ. 189/2009 «Καθορισμός και ανακατανομή αρμοδιοτήτων των Υπουργείων» (ΦΕΚ 221/Α’).</w:t>
      </w:r>
    </w:p>
    <w:p>
      <w:pPr>
        <w:pStyle w:val="PreambelText"/>
        <w:spacing w:before="240" w:after="240"/>
        <w:rPr>
          <w:lang w:val="el" w:eastAsia="el"/>
        </w:rPr>
      </w:pPr>
      <w:r>
        <w:rPr>
          <w:lang w:val="el" w:eastAsia="el"/>
        </w:rPr>
        <w:t>6) Τις διατάξεις του Π.Δ. 63/2005 (ΦΕΚ 98/ Α’/22.04.2005)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7) Την αριθμ. ΥΠΟΙΚ 07927 ΕΞ/19-9-2012 (ΦΕΚ 2574/Β’) απόφαση του Πρωθυπουργού και του Υπουργού Οικονομικών περί ανάθεσης αρμοδιοτήτων στον Υφυπουργό Οικονομικών.</w:t>
      </w:r>
    </w:p>
    <w:p>
      <w:pPr>
        <w:pStyle w:val="PreambelText"/>
        <w:spacing w:before="240" w:after="240"/>
        <w:rPr>
          <w:lang w:val="el" w:eastAsia="el"/>
        </w:rPr>
      </w:pPr>
      <w:r>
        <w:rPr>
          <w:lang w:val="el" w:eastAsia="el"/>
        </w:rPr>
        <w:t>8) Την αριθμ. Δ6Α 1015213ΕΞ2013/28-1-2013 (ΦΕΚ 130/ Β’) απόφαση Υπουργού και Υφυπουργού Οικονομικών αναφορικά με μεταβίβαση αρμοδιοτήτων στον Γενικό Γραμματέα της Γενικής Γραμματείας Δημοσίων Εσόδων του Υπουργείου Οικονομικών.</w:t>
      </w:r>
    </w:p>
    <w:p>
      <w:pPr>
        <w:pStyle w:val="PreambelText"/>
        <w:spacing w:before="240" w:after="240"/>
        <w:rPr>
          <w:lang w:val="el" w:eastAsia="el"/>
        </w:rPr>
      </w:pPr>
      <w:r>
        <w:rPr>
          <w:lang w:val="el" w:eastAsia="el"/>
        </w:rPr>
        <w:t>9) Το γεγονός ότι από τις διατάξεις της παρούσας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Παραλαβή καυσίμων - Ποσότητες</w:t>
      </w:r>
    </w:p>
    <w:p>
      <w:pPr>
        <w:pStyle w:val="MainText"/>
        <w:spacing w:before="120" w:after="0"/>
        <w:rPr>
          <w:lang w:val="el" w:eastAsia="el"/>
        </w:rPr>
      </w:pPr>
      <w:r>
        <w:rPr>
          <w:b/>
          <w:bCs/>
          <w:lang w:val="el" w:eastAsia="el"/>
        </w:rPr>
        <w:t>1.</w:t>
      </w:r>
      <w:r>
        <w:rPr>
          <w:lang w:val="el" w:eastAsia="el"/>
        </w:rPr>
        <w:t xml:space="preserve"> Τα καύσιμα που είναι αναγκαία για την κίνηση των αυτοκινήτων οχημάτων της Πολυεθνικής Ειρηνευτικής Δύναμης Νοτιοανατολικής Ευρώπης (ΜPFSEE) – Ταξιαρχίας Νοτιοανατολικής Ευρώπης (SEEBRIG) (στο εξής Ταξιαρχία) και των μελών του προσωπικού της, θα παραλαμβάνονται από ελεύθερα αποθέματα (φορολογημένα) μέσω των πρατηρίων υγρών καυσίμων των εταιρειών εμπορίας πετρελαιοειδών με βάση ατομικά βιβλιάρια (κουπόνια) σε τιμή χωρίς ειδικό φόρο κατανάλωσης. Στη συνέχεια θα χορηγείται στις εταιρείες εμπορίας πετρελαιοειδών συμψηφιστική ατέλεια ως προς τον ειδικό φόρο κατανάλωσης για τις ίδιες με τις παραληφθείσες από τα πρατήρια ποσότητες καυσίμων.</w:t>
      </w:r>
    </w:p>
    <w:p>
      <w:pPr>
        <w:pStyle w:val="MainText"/>
        <w:spacing w:before="120" w:after="0"/>
        <w:rPr>
          <w:lang w:val="el" w:eastAsia="el"/>
        </w:rPr>
      </w:pPr>
      <w:r>
        <w:rPr>
          <w:b/>
          <w:bCs/>
          <w:lang w:val="el" w:eastAsia="el"/>
        </w:rPr>
        <w:t>2.</w:t>
      </w:r>
      <w:r>
        <w:rPr>
          <w:lang w:val="el" w:eastAsia="el"/>
        </w:rPr>
        <w:t xml:space="preserve"> Οι παραλαμβανόμενες ανά αυτοκίνητο και ανά δικαιούχο πρόσωπο ποσότητες καυσίμου δεν δύναται να ξεπερνούν τα 400 λίτρα το μήνα.</w:t>
      </w:r>
    </w:p>
    <w:p>
      <w:pPr>
        <w:pStyle w:val="MainText"/>
        <w:spacing w:before="120" w:after="0"/>
        <w:rPr>
          <w:lang w:val="el" w:eastAsia="el"/>
        </w:rPr>
      </w:pPr>
      <w:r>
        <w:rPr>
          <w:b/>
          <w:bCs/>
          <w:lang w:val="el" w:eastAsia="el"/>
        </w:rPr>
        <w:t>3.</w:t>
      </w:r>
      <w:r>
        <w:rPr>
          <w:lang w:val="el" w:eastAsia="el"/>
        </w:rPr>
        <w:t xml:space="preserve"> Σε περίπτωση όπου παραληφθούν λιγότερες ποσότητες από τις οριζόμενες στο παρόν άρθρο, οι υπόλοιπες δεν δύναται να μεταφερθούν στον επόμενο μήνα.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Χορήγηση βιβλιαρίων (κουπονιών)</w:t>
      </w:r>
    </w:p>
    <w:p>
      <w:pPr>
        <w:pStyle w:val="MainText"/>
        <w:spacing w:before="120" w:after="0"/>
        <w:rPr>
          <w:lang w:val="el" w:eastAsia="el"/>
        </w:rPr>
      </w:pPr>
      <w:r>
        <w:rPr>
          <w:b/>
          <w:bCs/>
          <w:lang w:val="el" w:eastAsia="el"/>
        </w:rPr>
        <w:t>1.</w:t>
      </w:r>
      <w:r>
        <w:rPr>
          <w:lang w:val="el" w:eastAsia="el"/>
        </w:rPr>
        <w:t xml:space="preserve"> Η χορήγηση των αναφερομένων στο προηγούμενο άρθρο ατομικών βιβλιαρίων (κουπονιών) θα πραγματοποιείται με μέριμνα της υπηρεσίας της Ταξιαρχίας, η οποία θα υποχρεούται να προσκομίζει ενημερωμένη ονομαστική κατάσταση των δικαιούχων της απαλλαγής μελών της Ταξιαρχίας και η οποία στη συνέχεια θα τα διαβιβάζει με έγγραφό της στο Τελωνείο Λάρισας προς θεώρηση, βεβαιώνοντας παράλληλα και την ιδιότητα του δικαιούχου μέλους της.</w:t>
      </w:r>
    </w:p>
    <w:p>
      <w:pPr>
        <w:pStyle w:val="MainText"/>
        <w:spacing w:before="120" w:after="0"/>
        <w:rPr>
          <w:lang w:val="el" w:eastAsia="el"/>
        </w:rPr>
      </w:pPr>
      <w:r>
        <w:rPr>
          <w:b/>
          <w:bCs/>
          <w:lang w:val="el" w:eastAsia="el"/>
        </w:rPr>
        <w:t>2.</w:t>
      </w:r>
      <w:r>
        <w:rPr>
          <w:lang w:val="el" w:eastAsia="el"/>
        </w:rPr>
        <w:t xml:space="preserve"> Το Τελωνείο Λάρισας, αφού προβεί στη σχετική θεώρηση κάνοντας παράλληλα και σχετική εγγραφή για την ποσότητα του καυσίμου που δικαιούται να παραλαμβάνει κάθε μήνα το δικαιούχο πρόσωπο σύμφωνα με τα οριζόμενα στο άρθρο 1, θα το καταχωρεί σε ειδικό πρόχειρο βιβλίο και στη συνέχεια θα το παραδίδει στον ενδιαφερόμενο.</w:t>
      </w:r>
    </w:p>
    <w:p>
      <w:pPr>
        <w:pStyle w:val="MainText"/>
        <w:spacing w:before="120" w:after="0"/>
        <w:rPr>
          <w:lang w:val="el" w:eastAsia="el"/>
        </w:rPr>
      </w:pPr>
      <w:r>
        <w:rPr>
          <w:b/>
          <w:bCs/>
          <w:lang w:val="el" w:eastAsia="el"/>
        </w:rPr>
        <w:t>3.</w:t>
      </w:r>
      <w:r>
        <w:rPr>
          <w:lang w:val="el" w:eastAsia="el"/>
        </w:rPr>
        <w:t xml:space="preserve"> Κάθε βιβλιάριο αποτελείται από 25 αριθμημένα κατ’ αύξοντα αριθμό τριπλότυπα φύλλα με στοιχεία Α,Β,Γ, στα οποία θα αναγράφονται: η επωνυμία της εταιρείας εμπορίας πετρελαιοειδών, το είδος του καυσίμου και ο αύξων αριθμός.</w:t>
      </w:r>
    </w:p>
    <w:p>
      <w:pPr>
        <w:pStyle w:val="MainText"/>
        <w:spacing w:before="120" w:after="0"/>
        <w:rPr>
          <w:lang w:val="el" w:eastAsia="el"/>
        </w:rPr>
      </w:pPr>
      <w:r>
        <w:rPr>
          <w:b/>
          <w:bCs/>
          <w:lang w:val="el" w:eastAsia="el"/>
        </w:rPr>
        <w:t>4.</w:t>
      </w:r>
      <w:r>
        <w:rPr>
          <w:lang w:val="el" w:eastAsia="el"/>
        </w:rPr>
        <w:t xml:space="preserve"> Επίσης υπάρχουν ενδείξεις για συμπλήρωση:</w:t>
      </w:r>
    </w:p>
    <w:p>
      <w:pPr>
        <w:pStyle w:val="StructureList1"/>
        <w:spacing w:before="120" w:after="0"/>
        <w:rPr>
          <w:lang w:val="el" w:eastAsia="el"/>
        </w:rPr>
      </w:pPr>
      <w:r>
        <w:rPr>
          <w:lang w:val="el" w:eastAsia="el"/>
        </w:rPr>
        <w:t>α)</w:t>
      </w:r>
      <w:r>
        <w:rPr>
          <w:lang w:val="en" w:eastAsia="en"/>
        </w:rPr>
        <w:tab/>
      </w:r>
      <w:r>
        <w:rPr>
          <w:lang w:val="el" w:eastAsia="el"/>
        </w:rPr>
        <w:t>του ονοματεπώνυμου του δικαιούχου,</w:t>
      </w:r>
    </w:p>
    <w:p>
      <w:pPr>
        <w:pStyle w:val="StructureList1"/>
        <w:spacing w:before="120" w:after="0"/>
        <w:rPr>
          <w:lang w:val="el" w:eastAsia="el"/>
        </w:rPr>
      </w:pPr>
      <w:r>
        <w:rPr>
          <w:lang w:val="el" w:eastAsia="el"/>
        </w:rPr>
        <w:t>β)</w:t>
      </w:r>
      <w:r>
        <w:rPr>
          <w:lang w:val="en" w:eastAsia="en"/>
        </w:rPr>
        <w:tab/>
      </w:r>
      <w:r>
        <w:rPr>
          <w:lang w:val="el" w:eastAsia="el"/>
        </w:rPr>
        <w:t>του αριθμού κυκλοφορίας του αυτοκινήτου, γ) της ημερομηνίας παραλαβής και</w:t>
      </w:r>
    </w:p>
    <w:p>
      <w:pPr>
        <w:pStyle w:val="StructureList1"/>
        <w:spacing w:before="120" w:after="0"/>
        <w:rPr>
          <w:lang w:val="el" w:eastAsia="el"/>
        </w:rPr>
      </w:pPr>
      <w:r>
        <w:rPr>
          <w:lang w:val="el" w:eastAsia="el"/>
        </w:rPr>
        <w:t>δ)</w:t>
      </w:r>
      <w:r>
        <w:rPr>
          <w:lang w:val="en" w:eastAsia="en"/>
        </w:rPr>
        <w:tab/>
      </w:r>
      <w:r>
        <w:rPr>
          <w:lang w:val="el" w:eastAsia="el"/>
        </w:rPr>
        <w:t>της υπογραφής του δικαιούχου.</w:t>
      </w:r>
    </w:p>
    <w:p>
      <w:pPr>
        <w:pStyle w:val="MainText"/>
        <w:spacing w:before="120" w:after="0"/>
        <w:rPr>
          <w:lang w:val="el" w:eastAsia="el"/>
        </w:rPr>
      </w:pPr>
      <w:r>
        <w:rPr>
          <w:b/>
          <w:bCs/>
          <w:lang w:val="el" w:eastAsia="el"/>
        </w:rPr>
        <w:t>5.</w:t>
      </w:r>
      <w:r>
        <w:rPr>
          <w:lang w:val="el" w:eastAsia="el"/>
        </w:rPr>
        <w:t xml:space="preserve"> Τα στοιχεία (α) και (β) θα συμπληρώνονται από το Τελωνείο Λάρισας κατά τη θεώρηση του βιβλιαρίου.</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Τρόπος χρήσης βιβλιαρίου και παραλαβή καυσίμων</w:t>
      </w:r>
    </w:p>
    <w:p>
      <w:pPr>
        <w:pStyle w:val="MainText"/>
        <w:spacing w:before="120" w:after="0"/>
        <w:rPr>
          <w:lang w:val="el" w:eastAsia="el"/>
        </w:rPr>
      </w:pPr>
      <w:r>
        <w:rPr>
          <w:b/>
          <w:bCs/>
          <w:lang w:val="el" w:eastAsia="el"/>
        </w:rPr>
        <w:t>1.</w:t>
      </w:r>
      <w:r>
        <w:rPr>
          <w:lang w:val="el" w:eastAsia="el"/>
        </w:rPr>
        <w:t xml:space="preserve"> Η παραλαβή των καυσίμων από τα κατά τόπους πρατήρια καυσίμων θα πραγματοποιείται βάσει των ατομικών βιβλιαρίων (κουπονιών), τα οποία θα συμπληρώνονται και θα υπογράφονται από το δικαιούχο μέλος και θα σφραγίζονται από τον πρατηριούχο, βεβαιούμενης με τον τρόπο αυτόν της παράδοσης και παραλαβής της αναγραφόμενης ποσότητας.</w:t>
      </w:r>
    </w:p>
    <w:p>
      <w:pPr>
        <w:pStyle w:val="MainText"/>
        <w:spacing w:before="120" w:after="0"/>
        <w:rPr>
          <w:lang w:val="el" w:eastAsia="el"/>
        </w:rPr>
      </w:pPr>
      <w:r>
        <w:rPr>
          <w:b/>
          <w:bCs/>
          <w:lang w:val="el" w:eastAsia="el"/>
        </w:rPr>
        <w:t>2.</w:t>
      </w:r>
      <w:r>
        <w:rPr>
          <w:lang w:val="el" w:eastAsia="el"/>
        </w:rPr>
        <w:t xml:space="preserve"> Στη συνέχεια το υπό στοιχείο Α’ φύλλο θα αποκόπτεται και θα παραδίδεται στον πρατηριούχο για την παράδοσή του στην εταιρεία εμπορίας πετρελαιοειδών, το υπό στοιχείο Β’ φύλλο με αντίγραφο του τιμολογίου θα παραδίδεται στην υπηρεσία της Ταξιαρχίας και το υπό στοιχείο Γ’ θα παραμένει ως στέλεχος.</w:t>
      </w:r>
    </w:p>
    <w:p>
      <w:pPr>
        <w:pStyle w:val="MainText"/>
        <w:spacing w:before="120" w:after="0"/>
        <w:rPr>
          <w:lang w:val="el" w:eastAsia="el"/>
        </w:rPr>
      </w:pPr>
      <w:r>
        <w:rPr>
          <w:b/>
          <w:bCs/>
          <w:lang w:val="el" w:eastAsia="el"/>
        </w:rPr>
        <w:t>3.</w:t>
      </w:r>
      <w:r>
        <w:rPr>
          <w:lang w:val="el" w:eastAsia="el"/>
        </w:rPr>
        <w:t xml:space="preserve"> Μετά την πλήρη χρησιμοποίηση του βιβλιαρίου ή την αναχώρηση του δικαιούχου μέλους από τη χώρα μας, το βιβλιάριο αυτό θα παραδίδεται άμεσα με μέριμνα της υπηρεσίας της Ταξιαρχίας στο Τελωνείο Λάρισας.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Χορήγηση συμψηφιστικής ατέλειας</w:t>
      </w:r>
    </w:p>
    <w:p>
      <w:pPr>
        <w:pStyle w:val="MainText"/>
        <w:spacing w:before="120" w:after="0"/>
        <w:rPr>
          <w:lang w:val="el" w:eastAsia="el"/>
        </w:rPr>
      </w:pPr>
      <w:r>
        <w:rPr>
          <w:b/>
          <w:bCs/>
          <w:lang w:val="el" w:eastAsia="el"/>
        </w:rPr>
        <w:t>1.</w:t>
      </w:r>
      <w:r>
        <w:rPr>
          <w:lang w:val="el" w:eastAsia="el"/>
        </w:rPr>
        <w:t xml:space="preserve"> Κάθε μήνα η εταιρεία εμπορίας πετρελαιοειδών θα συντάσσει σχετική κατάσταση με συνημμένα τα υπό στοιχείο Α’ φύλλα του βιβλιαρίου, την οποία θα αποστέλλει στο Τελωνείο Λάρισας με τα αντίγραφα του τιμολογίου και με έγγραφο της υπηρεσίας της Ταξιαρχίας, με το οποίο θα ζητείται η χορήγηση συμψηφιστικής ατέλειας.</w:t>
      </w:r>
    </w:p>
    <w:p>
      <w:pPr>
        <w:pStyle w:val="MainText"/>
        <w:spacing w:before="120" w:after="0"/>
        <w:rPr>
          <w:lang w:val="el" w:eastAsia="el"/>
        </w:rPr>
      </w:pPr>
      <w:r>
        <w:rPr>
          <w:b/>
          <w:bCs/>
          <w:lang w:val="el" w:eastAsia="el"/>
        </w:rPr>
        <w:t>2.</w:t>
      </w:r>
      <w:r>
        <w:rPr>
          <w:lang w:val="el" w:eastAsia="el"/>
        </w:rPr>
        <w:t xml:space="preserve"> Με το έγγραφο αυτό θα βεβαιώνεται ότι οι παραληφθείσες ποσότητες καυσίμων τιμολογήθηκαν σε τιμή χωρίς τον ειδικό φόρο κατανάλωσης και ότι παρελήφθησαν από τα δικαιούχα ατελείας πρόσωπα.</w:t>
      </w:r>
    </w:p>
    <w:p>
      <w:pPr>
        <w:pStyle w:val="MainText"/>
        <w:spacing w:before="120" w:after="0"/>
        <w:rPr>
          <w:lang w:val="el" w:eastAsia="el"/>
        </w:rPr>
      </w:pPr>
      <w:r>
        <w:rPr>
          <w:b/>
          <w:bCs/>
          <w:lang w:val="el" w:eastAsia="el"/>
        </w:rPr>
        <w:t>3.</w:t>
      </w:r>
      <w:r>
        <w:rPr>
          <w:lang w:val="el" w:eastAsia="el"/>
        </w:rPr>
        <w:t xml:space="preserve"> Το Τελωνείο Λάρισας, αφού διενεργήσει σχετικό έλεγχο για τις ποσότητες που έχουν παραληφθεί από κάθε δικαιούχο πρόσωπο, σε συνδυασμό με τις θεωρήσεις που έχει κάνει στα δελτία παραλαβής και τις καταχωρήσεις που έχουν πραγματοποιηθεί στο πρόχειρο βιβλίο, καθώς και ελέγχους για τη γνησιότητα των αποδείξεων παραλαβής, κατόπιν διασταύρωσης με τα τηρούμενα στην υπηρεσία του στοιχεία, θα διαβιβάζει τα δικαιολογητικά στο Δ’ Τελωνείο Επίβλεψης Συγκροτημάτων Πειραιά για την έκδοση απόφασης συμψηφιστικής ατέλειας επ’ ονόματι της εταιρείας εμπορίας πετρελαιοειδών για τις κάθε μήνα χορηγηθείσες ποσότητες καυσίμων.</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Τελικές διατάξεις</w:t>
      </w:r>
    </w:p>
    <w:p>
      <w:pPr>
        <w:spacing w:before="240" w:after="240"/>
        <w:rPr>
          <w:lang w:val="el" w:eastAsia="el"/>
        </w:rPr>
      </w:pPr>
      <w:r>
        <w:rPr>
          <w:lang w:val="el" w:eastAsia="el"/>
        </w:rPr>
        <w:t>Η παρούσα απόφαση ισχύει από την ημερομηνία δημοσίευσής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Αυγούστου 2013</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ΓΕΩΡΓΙΟΣ ΜΑΥΡΑΓΑΝΗΣ</w:t>
      </w:r>
      <w:r>
        <w:rPr>
          <w:lang w:val="el" w:eastAsia="el"/>
        </w:rPr>
        <w:t>F</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