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1201</w:t>
      </w:r>
    </w:p>
    <w:p>
      <w:pPr>
        <w:spacing w:before="240" w:after="240"/>
        <w:rPr>
          <w:lang w:val="el" w:eastAsia="el"/>
        </w:rPr>
      </w:pPr>
      <w:r>
        <w:rPr>
          <w:lang w:val="el" w:eastAsia="el"/>
        </w:rPr>
        <w:t xml:space="preserve">Τροποποίηση της AYO ΠΟΛ. 1126/2013, </w:t>
      </w:r>
    </w:p>
    <w:p>
      <w:pPr>
        <w:spacing w:before="240" w:after="240"/>
        <w:rPr>
          <w:lang w:val="el" w:eastAsia="el"/>
        </w:rPr>
      </w:pPr>
      <w:r>
        <w:rPr>
          <w:lang w:val="el" w:eastAsia="el"/>
        </w:rPr>
        <w:t>όσον αφοράστην προώθηση του διαμετακομιστικού εμπορίου.</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του άρθρου 7 του Ν. 4132/2013 (ΦΕΚ Α’ 59/07.03.2013),</w:t>
      </w:r>
    </w:p>
    <w:p>
      <w:pPr>
        <w:spacing w:before="240" w:after="240"/>
        <w:rPr>
          <w:lang w:val="el" w:eastAsia="el"/>
        </w:rPr>
      </w:pPr>
      <w:r>
        <w:rPr>
          <w:lang w:val="el" w:eastAsia="el"/>
        </w:rPr>
        <w:t>2. τις διατάξεις του Ν. 2960/2001 «Εθνικός Τελωνειακός Κώδικας» (ΦΕΚ Α’ 265/ 22.11.2001), όπως ισχύει και ιδίως των άρθρων 1, 3, 11, 29, 31 και 142-177,</w:t>
      </w:r>
    </w:p>
    <w:p>
      <w:pPr>
        <w:spacing w:before="240" w:after="240"/>
        <w:rPr>
          <w:lang w:val="el" w:eastAsia="el"/>
        </w:rPr>
      </w:pPr>
      <w:r>
        <w:rPr>
          <w:lang w:val="el" w:eastAsia="el"/>
        </w:rPr>
        <w:t>3. τις διατάξεις του Ν. 2859/2000 «Κώδικας ΦΠΑ» (ΦΕΚ Α’ 248/07.11.2000), όπως ισχύει και ιδίως των άρθρων 2, 3, 4, 5, 10, 17, 20, 35, 36 και 38,</w:t>
      </w:r>
    </w:p>
    <w:p>
      <w:pPr>
        <w:spacing w:before="240" w:after="240"/>
        <w:rPr>
          <w:lang w:val="el" w:eastAsia="el"/>
        </w:rPr>
      </w:pPr>
      <w:r>
        <w:rPr>
          <w:lang w:val="el" w:eastAsia="el"/>
        </w:rPr>
        <w:t>4. τις διατάξεις των άρθρων 194 και 211 της Οδηγίας αριθ. 2006/112/ΕΚ του Συμβουλίου σχετικά με το κοινό σύστημα του φόρου προστιθεμένης αξίας, όπως ισχύει (L 347/11.12.2006),</w:t>
      </w:r>
    </w:p>
    <w:p>
      <w:pPr>
        <w:spacing w:before="240" w:after="240"/>
        <w:rPr>
          <w:lang w:val="el" w:eastAsia="el"/>
        </w:rPr>
      </w:pPr>
      <w:r>
        <w:rPr>
          <w:lang w:val="el" w:eastAsia="el"/>
        </w:rPr>
        <w:t>5. τις διατάξεις του καν. (ΕΟΚ) αριθ. 2913/92 του Συμβουλίου περί θεσπίσεως Κοινοτικού Τελωνειακού Κώδικα (L 302/19.10.1992), όπως ισχύει και ιδίως των άρθρων 4, 5α και 13-15,</w:t>
      </w:r>
    </w:p>
    <w:p>
      <w:pPr>
        <w:spacing w:before="240" w:after="240"/>
        <w:rPr>
          <w:lang w:val="el" w:eastAsia="el"/>
        </w:rPr>
      </w:pPr>
      <w:r>
        <w:rPr>
          <w:lang w:val="el" w:eastAsia="el"/>
        </w:rPr>
        <w:t>6. τις διατάξεις του καν. (ΕΟΚ) αριθ. 2454/93 της Επιτροπής περί θεσπίσεως ορισμένων διατάξεων εφαρμογής του Κοινοτικού Τελωνειακού Κώδικα (L 253/11.10.1993), όπως ισχύει και ιδίως των άρθρων 4ια-4κ, 14α-14β και 14ζ-14κδ,</w:t>
      </w:r>
    </w:p>
    <w:p>
      <w:pPr>
        <w:spacing w:before="240" w:after="240"/>
        <w:rPr>
          <w:lang w:val="el" w:eastAsia="el"/>
        </w:rPr>
      </w:pPr>
      <w:r>
        <w:rPr>
          <w:lang w:val="el" w:eastAsia="el"/>
        </w:rPr>
        <w:t>7. τις διατάξεις της ΑΥΟ ΠΟΛ 1126/2013 (ΦΕΚ 1420 Β’/12.6.2013),</w:t>
      </w:r>
    </w:p>
    <w:p>
      <w:pPr>
        <w:spacing w:before="240" w:after="240"/>
        <w:rPr>
          <w:lang w:val="el" w:eastAsia="el"/>
        </w:rPr>
      </w:pPr>
      <w:r>
        <w:rPr>
          <w:lang w:val="el" w:eastAsia="el"/>
        </w:rPr>
        <w:t>8. τις διατάξεις του Π.Δ 63/2005 «Κωδικοποίηση της νομοθεσίας για την Κυβέρνηση και τα Κυβερνητικά όργανα» (ΦΕΚ Α’98/22.04.2005), όπως ισχύει,</w:t>
      </w:r>
    </w:p>
    <w:p>
      <w:pPr>
        <w:spacing w:before="240" w:after="240"/>
        <w:rPr>
          <w:lang w:val="el" w:eastAsia="el"/>
        </w:rPr>
      </w:pPr>
      <w:r>
        <w:rPr>
          <w:lang w:val="el" w:eastAsia="el"/>
        </w:rPr>
        <w:t>9. την απόφαση αριθ. 07927 ΕΞ 2012/19.09.2012 (ΦΕΚ 2574/Β/19.09.2012) περί ανάθεσης αρμοδιοτήτων στον Υφυπουργό Οικονομικών Γ. Μαυραγάνη,</w:t>
      </w:r>
    </w:p>
    <w:p>
      <w:pPr>
        <w:spacing w:before="240" w:after="240"/>
        <w:rPr>
          <w:lang w:val="el" w:eastAsia="el"/>
        </w:rPr>
      </w:pPr>
      <w:r>
        <w:rPr>
          <w:lang w:val="el" w:eastAsia="el"/>
        </w:rPr>
        <w:t>10. την ανάγκη τροποποίησης της Α.Υ.Ο ΠΟΛ. 1126/2013 ώστε να αντιμετωπιστούν προβλήματα απόδοσης ΑΦΜ σε εγκατεστημένα εκτός Ε.Ε πρόσωπα που ανήκουν σε Ομίλους εταιρειών, οι οποίοι επιθυμούν να δραστηριοποιηθούν στα πλαίσια της ρύθμισης του άρθρου 7 του Ν. 4132/2013,</w:t>
      </w:r>
    </w:p>
    <w:p>
      <w:pPr>
        <w:spacing w:before="240" w:after="240"/>
        <w:rPr>
          <w:lang w:val="el" w:eastAsia="el"/>
        </w:rPr>
      </w:pPr>
      <w:r>
        <w:rPr>
          <w:lang w:val="el" w:eastAsia="el"/>
        </w:rPr>
        <w:t>11. το γεγονός ότι από τις διατάξεις της παρούσας δεν προκαλείται δαπάνη στον Κρατικό Προϋπολογισμό, αποφασίζουμε:</w:t>
      </w:r>
    </w:p>
    <w:p>
      <w:pPr>
        <w:spacing w:before="240" w:after="240"/>
        <w:rPr>
          <w:lang w:val="el" w:eastAsia="el"/>
        </w:rPr>
      </w:pPr>
      <w:r>
        <w:rPr>
          <w:lang w:val="el" w:eastAsia="el"/>
        </w:rPr>
        <w:t>Η ΑΥΟ ΠΟΛ 1126/2013 τροποποιείται ως εξής:</w:t>
      </w:r>
    </w:p>
    <w:p>
      <w:pPr>
        <w:spacing w:before="240" w:after="240"/>
        <w:rPr>
          <w:lang w:val="el" w:eastAsia="el"/>
        </w:rPr>
      </w:pPr>
      <w:r>
        <w:rPr>
          <w:lang w:val="el" w:eastAsia="el"/>
        </w:rPr>
        <w:t>1. Η περ. iii της παρ. 1 του άρθρου 4 αντικαθίσταται ως εξής:</w:t>
      </w:r>
    </w:p>
    <w:p>
      <w:pPr>
        <w:spacing w:before="240" w:after="240"/>
        <w:rPr>
          <w:lang w:val="el" w:eastAsia="el"/>
        </w:rPr>
      </w:pPr>
      <w:r>
        <w:rPr>
          <w:lang w:val="el" w:eastAsia="el"/>
        </w:rPr>
        <w:t>«iii. Κατόπιν υποβολής της αίτησης και εντός προθεσμίας δέκα (10) εργάσιμων ημερών υποβάλλεται από τον αιτούντα φάκελος που περιλαμβάνει τα στοιχεία που αναφέρονται στο σημείο (θ) της περίπτωσης i και στο σημείο (ι) της περίπτωσης ii της παραγράφου 1 του παρόντος άρθρου.»</w:t>
      </w:r>
    </w:p>
    <w:p>
      <w:pPr>
        <w:spacing w:before="240" w:after="240"/>
        <w:rPr>
          <w:lang w:val="el" w:eastAsia="el"/>
        </w:rPr>
      </w:pPr>
      <w:r>
        <w:rPr>
          <w:lang w:val="el" w:eastAsia="el"/>
        </w:rPr>
        <w:t>2. Η παρ. 2 του άρθρου 6 αντικαθίσταται ως εξής:</w:t>
      </w:r>
    </w:p>
    <w:p>
      <w:pPr>
        <w:spacing w:before="240" w:after="240"/>
        <w:rPr>
          <w:lang w:val="el" w:eastAsia="el"/>
        </w:rPr>
      </w:pPr>
      <w:r>
        <w:rPr>
          <w:lang w:val="el" w:eastAsia="el"/>
        </w:rPr>
        <w:t>«2. Εφόσον η αίτηση περιλαμβάνει τα στοιχεία α-η της περίπτωσης i και α-θ της περίπτωσης ii της παραγράφου 1 του άρθρου 4 και έχει κατατεθεί ο φάκελος που προβλέπεται στην περίπτωση iii της παραγράφου 1 του άρθρου 4 της παρούσας, δύναται η Γενική Γραμματεία Δημοσίων Εσόδων να χορηγεί προέγκριση της άδειας εντός προθεσμίας δεκαπέντε (15) εργάσιμων ημερών, από την κατάθεση της αίτησης, με σκοπό την δυνατότητα έναρξης πραγματοποίησης συναλλαγών. Προέγκριση της άδειας δεν μπορεί να χορηγηθεί στην περίπτωση που ο αιτών είναι πρόσωπο εγκατεστημένο εκτός Ε.Ε.</w:t>
      </w:r>
    </w:p>
    <w:p>
      <w:pPr>
        <w:spacing w:before="240" w:after="240"/>
        <w:rPr>
          <w:lang w:val="el" w:eastAsia="el"/>
        </w:rPr>
      </w:pPr>
      <w:r>
        <w:rPr>
          <w:lang w:val="el" w:eastAsia="el"/>
        </w:rPr>
        <w:t>Η διοικητική πράξη που εκδίδεται από τη Γεν. Γραμματεία Δημοσίων Εσόδων για την προέγκριση της άδειας γνωστοποιείται στον αιτούντα και στις αρμόδιες τελωνειακές και φορολογικές αρχές.».</w:t>
      </w:r>
    </w:p>
    <w:p>
      <w:pPr>
        <w:spacing w:before="240" w:after="240"/>
        <w:rPr>
          <w:lang w:val="el" w:eastAsia="el"/>
        </w:rPr>
      </w:pPr>
      <w:r>
        <w:rPr>
          <w:lang w:val="el" w:eastAsia="el"/>
        </w:rPr>
        <w:t>3. Το άρθρο 9 της ΑΥΟ ΠΟΛ 1126/2013 αντικαθίσταται ως εξής:</w:t>
      </w:r>
    </w:p>
    <w:p>
      <w:pPr>
        <w:spacing w:before="240" w:after="240"/>
        <w:rPr>
          <w:lang w:val="el" w:eastAsia="el"/>
        </w:rPr>
      </w:pPr>
      <w:r>
        <w:rPr>
          <w:lang w:val="el" w:eastAsia="el"/>
        </w:rPr>
        <w:t>«1 . Για τη χορήγηση ΑΦΜ στα πρόσωπα που χορηγείται άδεια σύμφωνα με το άρθρο 1 εφαρμόζεται η διαδικασία που προβλέπεται στην ΑΥΟ ΠΟΛ. 1113/2013.</w:t>
      </w:r>
    </w:p>
    <w:p>
      <w:pPr>
        <w:spacing w:before="240" w:after="240"/>
        <w:rPr>
          <w:lang w:val="el" w:eastAsia="el"/>
        </w:rPr>
      </w:pPr>
      <w:r>
        <w:rPr>
          <w:lang w:val="el" w:eastAsia="el"/>
        </w:rPr>
        <w:t xml:space="preserve">2. Ειδικά για τους υποκείμενους στο φόρο που είναι εγκατεστημένοι σε τρίτες χώρες, η συμπλήρωση της δήλωσης του Παραρτήματος Ι της ανωτέρω ΑΥΟ προσαρμόζεται στα στοιχεία των προσώπων αυτών. Η ανωτέρω δήλωση μπορεί να υποβληθεί μόνο μετά την οριστική έγκριση της άδειας που προβλέπεται στο άρθρο 1. </w:t>
      </w:r>
    </w:p>
    <w:p>
      <w:pPr>
        <w:spacing w:before="240" w:after="240"/>
        <w:rPr>
          <w:lang w:val="el" w:eastAsia="el"/>
        </w:rPr>
      </w:pPr>
      <w:r>
        <w:rPr>
          <w:lang w:val="el" w:eastAsia="el"/>
        </w:rPr>
        <w:t>Για λόγους ταυτοποίησης, τα πρόσωπα αυτά υποχρεούνται να υποβάλουν πιστοποιητικό από τη φορολογική αρχή της χώρας που είναι εγκατεστημένα από το οποίο να προκύπτουν τα στοιχεία που δηλώνονταιγια την έναρξη των εργασιών. Το πιστοποιητικό αυτό μπορεί να υποβάλλεται ηλεκτρονικά στην ηλεκτρονική διεύθυνση: «doyathinon@1836.syzefxis.gov.gr».</w:t>
      </w:r>
    </w:p>
    <w:p>
      <w:pPr>
        <w:spacing w:before="240" w:after="240"/>
        <w:rPr>
          <w:lang w:val="el" w:eastAsia="el"/>
        </w:rPr>
      </w:pPr>
      <w:r>
        <w:rPr>
          <w:lang w:val="el" w:eastAsia="el"/>
        </w:rPr>
        <w:t>3. Κατά παρέκκλιση των οριζομένων στην παρ. 2, η δήλωση του Παραρτήματος Ι της ΑΥΟ ΠΟΛ 1113/13 μπορεί να υποβάλλεται από υποκείμενους εγκατεστημένους σε τρίτες χώρες, μετά τη χορήγηση προέγκρισης, σύμφωνα με την παράγραφο 2 του άρθρου 6, εφόσον πληρούνται οι κατωτέρω προϋποθέσεις:</w:t>
      </w:r>
    </w:p>
    <w:p>
      <w:pPr>
        <w:spacing w:before="240" w:after="240"/>
        <w:rPr>
          <w:lang w:val="el" w:eastAsia="el"/>
        </w:rPr>
      </w:pPr>
      <w:r>
        <w:rPr>
          <w:lang w:val="el" w:eastAsia="el"/>
        </w:rPr>
        <w:t>α) Οι εν λόγω υποκείμενοι στο φόρο συμμετέχουν σε όμιλο εταιρειών και η αίτηση για χορήγηση της άδειας που προβλέπεται στο άρθρο 1 έχει υποβληθεί από εταιρεία του ομίλου εγκατεστημένη εντός της Ευρωπαϊκής Ένωσης.</w:t>
      </w:r>
    </w:p>
    <w:p>
      <w:pPr>
        <w:spacing w:before="240" w:after="240"/>
        <w:rPr>
          <w:lang w:val="el" w:eastAsia="el"/>
        </w:rPr>
      </w:pPr>
      <w:r>
        <w:rPr>
          <w:lang w:val="el" w:eastAsia="el"/>
        </w:rPr>
        <w:t>β) Οι εν λόγω υποκείμενοι προσκομίζουν πιστοποιητικό ΑΕΟ, ή ο αιτών με την αίτησή του δηλώνει ότι εγγυάται την εκπλήρωση των υποχρεώσεων του υποκείμενου που είναι εγκατεστημένος σε τρίτη χώρα.</w:t>
      </w:r>
    </w:p>
    <w:p>
      <w:pPr>
        <w:spacing w:before="240" w:after="240"/>
        <w:rPr>
          <w:lang w:val="el" w:eastAsia="el"/>
        </w:rPr>
      </w:pPr>
      <w:r>
        <w:rPr>
          <w:lang w:val="el" w:eastAsia="el"/>
        </w:rPr>
        <w:t>Σχετική μνεία περί των ανωτέρω περιλαμβάνεται στη χορηγούμενη προέγκριση.</w:t>
      </w:r>
    </w:p>
    <w:p>
      <w:pPr>
        <w:spacing w:before="240" w:after="240"/>
        <w:rPr>
          <w:lang w:val="el" w:eastAsia="el"/>
        </w:rPr>
      </w:pPr>
      <w:r>
        <w:rPr>
          <w:lang w:val="el" w:eastAsia="el"/>
        </w:rPr>
        <w:t>4. Η αρμόδια Δ.Ο.Υ. γνωστοποιεί τον ΑΦΜ του υποκειμένου στις αρμόδιες τελωνειακές και φορολογικές αρχές για τους σκοπούς της παρούσας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