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 ΓΕΝΙΚΗ ΔΙΕΥΘΥΝΣΗ ΦΟΡΟΛΟΓΙΑΣ ΔΙΕΥΘΥΝΣΗ ΒΙΒΛΙΩΝ &amp; ΣΤΟΙΧΕΙΩΝ (15η) ΤΜΗΜA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10 101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Σταθάς Δημήτρης 210-3642682 210-3610030 210-3610065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«Διαδικασία βεβαίωσης και καταβολής των ποσών που προκύπτουν μετά τον επανυπολογισμό των προστίμων με βάση τις διατάξεις της παραγράφου 2 του άρθρου 55 και των μεταβατικών διατάξεων των παραγράφων 4 και 5 του άρθρου 66 του ν. 4174/2013 (ΦΕΚ 170 Α΄)»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8 του άρθρου 66 του ν. 4174/2013 (ΦΕΚ 170 Α΄).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ανάγκη καθορισμού της διαδικασίας βεβαίωσης και καταβολής των ποσών που προκύπτουν μετά τον επανυπολογισμό των προστίμων με βάση τις διατάξεις της παραγράφου 2 του άρθρου 55 και των μεταβατικών διατάξεων των παραγράφων 4 και 5 του άρθρου 66 του ν. 4174/2013 (ΦΕΚ 170 Α΄).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Ότι με την παρούσα δεν προκαλείται δαπάνη σε βάρος του Κρατικού Προϋπολογισμού, αντίθετα εκτιμάται ότι, μετά τον επανυπολογισμό των υπόψη προστίμων, θα αυξηθούν οι εισπράξεις των δημοσίων εσόδων.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ποσά που προκύπτουν μετά τον επανυπολογισμό των προστίμων, με βάση τις διατάξεις της παραγράφου 2 του άρθρου 55 και των μεταβατικών διατάξεων των παραγράφων 4 και 5 του άρθρου 66 του ν. 4174/2013 (ΦΕΚ 170 Α΄), βεβαιώνονται και καταβάλλονται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Εντός των δέκα (10) επόμενων εργάσιμων, για τις δημόσιες οικονομικές υπηρεσίες, ημερών από την κοινοποίηση της πράξης επιβολής προστίμου με το ευνοϊκότερο καθεστώς (περιπτώσεις α΄ και β΄ της παραγράφου 4 του άρθρου 66 του ν. 4174/2013) ή την αποδοχή του πρακτικού διοικητικής επίλυσης της διαφοράς (πρακτικό αποδοχής της διαφοράς) με το ευνοϊκότερο καθεστώς (περίπτωση γ΄ της παραγράφου 4 του άρθρου 66 του ν. 4174/2013), βεβαιώνεται και καταβάλλεται το εξήντα τοις εκατό (60%) του οφειλόμενου ποσού.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Μέχρι την τελευταία εργάσιμη ημέρα του επόμενου μήνα, από την κοινοποίηση της πράξης επιβολής προστίμου με το ευνοϊκότερο καθεστώς ή την αποδοχή του πρακτικού διοικητικής επίλυσης της διαφοράς (πρακτικό αποδοχής της διαφοράς) με το ευνοϊκότερο καθεστώς, βεβαιώνεται και καταβάλλεται το υπόλοιπο σαράντα τοις εκατό (40%) του οφειλόμενου ποσού.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Ο Γενικός Γραμματέας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Προϊσταμένη της Γραμματείας Θ. Θεοχάρης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Β΄ (εκτός του 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ΣΤ΄(μόνο τα 1 και 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Κεντρική Υπηρεσία Σ.Δ.Ο.Ε.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Η΄ (εκτός των 4, 10, 11).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Θ΄ (μόνο τα 1, 2, 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Αποδέκτες πίνακα Ι΄.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Αποδέκτες πίνακα ΙΒ΄ (μόνο τα 3, 4, 5, 8).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Αποδέκτες πίνακα ΙΣΤ΄ (μόνο τα 3, 7, 28, 36).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κ.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κ. Γενικού Δ/ντή Φορολογίας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Γραφεία κ.κ. Γεν. Δ/ντών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Δ/νση Βιβλίων και Στοιχείων (Δ15)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Γραφείο κ. Δ/ντή (2 αντίγραφα).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Τμήματα Α΄, Β΄, Γ΄ (από 10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