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 xml:space="preserve">ΕΛΛΗΝΙΚΗ ΔΗΜΟΚΡΑΤΙΑWBJ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ΟΙΚΟΝΟΜΙΚΩΝVIΑΤΕΙΑ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ΓΕΝ. ΔΙΕΥΘΥΝΣΗ ΦΟΡΟΛΟΓΙΑΣ ΔΙΕΥΘΥΝΣΗ ΦΟΡΟΛΟΓΙΑΣ ΚΕΦΑΛΑΙΟΥ ΤΜΗΜΑ Φ.Μ.Α.Π.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ΓΕΝ. ΔΙΕΥΘΥΝΣΗ ΟΙΚΟΝΟΜΙΚΗΣ ΕΠΙΘΕΩΡΗΣΗΣ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ΕΠΙΘΕΩΡΗΣΗΣ ΥΠΗΡΕΣΙΩΝ ΤΜΗΜΑ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Τηλέφωνα: 210 3375360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E-mail: </w:t>
      </w:r>
      <w:r>
        <w:rPr>
          <w:u w:val="single"/>
          <w:lang w:val="el" w:eastAsia="el"/>
        </w:rPr>
        <w:t>d13.etak @ yo.syzefxis.gov.gr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Καθορισμός των αρμόδιων οργάνων για τον έλεγχο συνδρομής των προϋποθέσεων υπαγωγής στις διατάξεις της περίπτωσης 11 της υποπαραγράφου Α.7 του πρώτου άρθρου του ν. 4152/2013.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υποπαραγράφου Α.7 της παραγράφου Α του πρώτου άρθρου του ν. 4152/2013 (ΦΕΚ 107 Α΄) «Επείγοντα μέτρα εφαρμογής των νόμων 4046/2012,4093/2012 και 4127/2013».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ΠΟΛ 1103/2013 απόφαση του Υπουργού Οικονομικών (ΦΕΚ 1170Β΄) «Εξειδίκευση των κριτηρίων και καθορισμός των αρμοδίων οργάνων και της διαδικασίας υπαγωγής στις ευνοϊκές διατάξεις της περίπτωσης 11 της υποπαραγράφου Α.7 του πρώτου άρθρου του ν. 4152/2013» και ειδικότερα το άρθρο 1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 με την παρούσα απόφαση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Η αρμοδιότητα ελέγχου και έκδοσης απόφασης περί της συνδρομής ή μη των προϋποθέσεων της περίπτωσης 11 της υποπαραγράφου Α.7 του πρώτου άρθρου του ν. 4152/2013, μεταβιβάζεται στον προϊστάμενο της Οικονομικής Επιθεώρησης που εποπτεύει τη Δ.Ο.Υ, την αρμόδια για τη φορολογία εισοδήματος του υποκείμενου σε Ε.Ε.Τ.Α., ύστερα από σχετική εισήγηση Οικονομικού Επιθεωρητή της ίδιας Επιθεώρησης.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Γενικός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Θεοχάρης Θεοχάρης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Προϊσταμένη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Οικονομικές Επιθεώρησεις – Σε όλους τους Οικονομικούς Επιθεωρητές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οι Δημόσιες Οικονομικές Υπηρεσίες (Εξαιρετικά Επείγον – Αποστολή και μέσω ηλεκτρονικού ταχυδρομείου, από 3 αντίγραφα στα τμήματα φορολογίας εισοδήματος)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Εθνικό Τυπογραφείο (για δημοσίευση της απόφασης)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Γενική Γραμματεία Πληροφοριακών Συστημάτων (για ανάρτηση)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(περιπτώσεις 3,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(περίπτωση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ΣΤ΄ (περιπτώσεις 1, 3, 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Ζ΄ (περιπτώσεις 1, 2, 8,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Η΄ (περιπτώσεις 1 –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Θ΄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ΙΕ΄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Αποδέκτες Πίνακα ΙΣΤ΄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Αποδέκτες Πίνακα ΙΖ΄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Αποδέκτες Πίνακα ΙΗ΄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Αποδέκτες Πίνακα ΙΘ΄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Αποδέκτες Πίνακα ΚΑ΄ (περιπτώσεις 1 –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ΔΕΔΔΗΕ (με την παράκληση να κοινοποιήσει άμεσα στη ΔΕΗ και τους λοιπούς παρόχους ηλεκτρικής ενέργειας)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Γενικού Γραμματέα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Αναπληρωτή Γενικού Διευθυντή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Όλες τις Δ/νσεις, Τμήματα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Επιθεώρησης Υπηρεσιών –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Φορολογίας Κεφαλαίου – Τμήματα Α΄, Β΄ (από 3 αντίτυπα), Φ.Μ.Α.Π. (30 αντίτυπα)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