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ΔΕΦΚΓ 5034741 ΕΞ 2013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Τροποποίηση της υπ’ αριθμ. Φ.639/447/14.8.2002 απόφασης Υπουργού Οικονομικών (ΦΕΚ 1109/Β’) «Σύσταση και λειτουργία Φορολογικών Αποθηκών».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ΟYΦΥΠΟΥΡΓΟΣΟΙΚΟΝΟΜΙΚΩΝ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Ν. 2960/2001 (ΦΕΚ 265/Α’) «Εθνικός Τελωνειακός Κώδικας», όπως ισχύει και ειδικότερα των άρθρων 56, 63, 71, 90, 92 και 109.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υπ’ αριθμ. Φ.639/447/14.8.2002 απόφασης Υπουργού Οικονομικών (ΦΕΚ 1109/Β’) «Σύσταση και λειτουργία Φορολογικών Αποθηκών».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 2859/2000 (ΦΕΚ 248/Α’) «Κώδικας Φ.Π.Α.» και ειδικότερα το άρθρο 25.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άρθρου 90, παράγραφος 2, του Κώδικα Νομοθεσίας για την Κυβέρνηση και τα Κυβερνητικά Όργανα, ο οποίος κυρώθηκε με το άρθρο πρώτο του Π.Δ. 63/2005 «Κωδικοποίηση της νομοθεσίας για την Κυβέρνηση και τα Κυβερνητικά Όργανα» (ΦΕΚ 98/ Α’/22.4.2005).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Τα Π.Δ. 185/2009 (ΦΕΚ 213/Α’/7.10.2009) «Περί ανασύστασης του Υπουργείου Οικονομικών» και 189/2009 «Καθορισμός και ανακατανομή αρμοδιοτήτων των Υπουργείων» (ΦΕΚ 221/Α’/5.11.2009).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Την ανάγκη εισόδου σε φορολογικές αποθήκες κρασιών που έχουν παραχθεί η κατέχονται εκτός καθεστώτος αναστολής με σκοπό τη διευκόλυνση της επιχειρηματικότητας και του εξαγωγικού εμπορίου.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Την υπ’ αριθμ. ΥΠΟΙΚ07927 ΕΞ/19.9.2012 κοινή απόφαση του Πρωθυπουργού και του Υπουργού Οικονομικών (ΦΕΚ 2574/Β’) «Ανάθεση αρμοδιοτήτων στον Υφυπουργό Οικονομικών Γεώργιο Μαυραγάνη».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Το γεγονός ότι από τις διατάξεις τις παρούσας δεν προκύπτει δαπάνη σε βάρος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Στο άρθρο 4 της υπ’ αριθμ. Φ.639/447/14.8.2002 απόφασης Υπουργού Οικονομικών (ΦΕΚ 1109/Β’) «Σύσταση και λειτουργία Φορολογικών Αποθηκών» προστίθεται νέα παράγραφος 4,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«4 . Επιτρέπεται η θέση σε καθεστώς φορολογικής αποθήκης κρασιών, υπαγομένων στο άρθρο 90 του Ν. 2960/2001 και ποτών παρασκευαζομένων με ζύμωση, εκτός από κρασί και μπύρα, υπαγομένων στο άρθρο 92 του Ν. 2960/2001, τα οποία παράγονται ή κατέχονται εκτός καθεστώτος αναστολής ή προέρχονται από μικρούς οινοπαραγωγούς, υπαγομένων στο άρθρο 71 του Ν. 2960/2001. Η είσοδος των προϊόντων στη φορολογική αποθήκη πραγματοποιείται με βάση το προβλεπόμενο κατά περίπτωση εμπορικό ή συνοδευτικό έγγραφο μεταφοράς ή άλλο ανάλογο έγγραφο για τη λογιστική παρακολούθηση».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παρούσας απόφασης αρχίζει από την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24 Σεπτεμβρίυ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ΓΕΩΡΓΙΟΣΜΑΥΡΑΓΑΝΗΣ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