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 Δ6Α 1145867 ΕΞ2013</w:t>
      </w:r>
    </w:p>
    <w:p>
      <w:pPr>
        <w:spacing w:before="240" w:after="240"/>
        <w:rPr>
          <w:lang w:val="el" w:eastAsia="el"/>
        </w:rPr>
      </w:pPr>
      <w:r>
        <w:rPr>
          <w:lang w:val="el" w:eastAsia="el"/>
        </w:rPr>
        <w:t>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υποπαραγράφου Ε.2, της παρ. Ε’ του άρθρου πρώτου του ν. 4093/2012 (Α’ 222) «’Εγκριση Μεσοπρόθεσμου Πλαισίου Δημοσιονομικής Στρατηγικής 2013-2016. Επείγοντα μέτρα εφαρμογής του ν. 4046/2012 και του Μεσοπρόθεσμου Πλαισίου Δημοσιονομικής Πολιτικής 2013-2016» και ειδικότερα της περ. 2 και της υποπερίπτωσης β’ της περίπτωσης 4 αυτής, όπως τροποποιήθηκε με την παρ. 3 του άρθρου 35 του ν. 4141/2013 (Α’ 81) «Επενδυτικά εργαλεία ανάπτυξης, παροχή πιστώσεων και άλλες διατάξεις» και συμπληρώθηκε με την υποπαράγραφο Β.1. της παραγράφου Β’ του ν. 4152/2013 (Α’ 107) «Επείγοντα μέτρα εφαρμογής των νόμων 4046/2012, 4093/2012 και 4127/2013» και ισχύει.</w:t>
      </w:r>
    </w:p>
    <w:p>
      <w:pPr>
        <w:pStyle w:val="StructureList1"/>
        <w:spacing w:before="120" w:after="0"/>
        <w:rPr>
          <w:lang w:val="el" w:eastAsia="el"/>
        </w:rPr>
      </w:pPr>
      <w:r>
        <w:rPr>
          <w:lang w:val="el" w:eastAsia="el"/>
        </w:rPr>
        <w:t>β)</w:t>
      </w:r>
      <w:r>
        <w:rPr>
          <w:lang w:val="en" w:eastAsia="en"/>
        </w:rPr>
        <w:tab/>
      </w:r>
      <w:r>
        <w:rPr>
          <w:lang w:val="el" w:eastAsia="el"/>
        </w:rPr>
        <w:t>Της παρ. 9 του άρθρου 13 του ν. 4111/2013 (Α’ 18) «Συνταξιοδοτικές ρυθμίσεις, τροποποιήσεις του ν. 4093/ 2012, … και άλλες επείγουσες ρυθμίσεις»</w:t>
      </w:r>
    </w:p>
    <w:p>
      <w:pPr>
        <w:pStyle w:val="StructureList1"/>
        <w:spacing w:before="120" w:after="0"/>
        <w:rPr>
          <w:lang w:val="el" w:eastAsia="el"/>
        </w:rPr>
      </w:pPr>
      <w:r>
        <w:rPr>
          <w:lang w:val="el" w:eastAsia="el"/>
        </w:rPr>
        <w:t>γ)</w:t>
      </w:r>
      <w:r>
        <w:rPr>
          <w:lang w:val="en" w:eastAsia="en"/>
        </w:rPr>
        <w:tab/>
      </w:r>
      <w:r>
        <w:rPr>
          <w:lang w:val="el" w:eastAsia="el"/>
        </w:rPr>
        <w:t>Των άρθρων 41, 50, 51, 52, 54 και 90 του Κώδικα νομοθεσίας για την Κυβέρνηση και Κυβερνητικά Όργανα, ο οποίος κυρώθηκε με το άρθρο πρώτο του π.δ. 63/ 2005 (Α’ 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δ)</w:t>
      </w:r>
      <w:r>
        <w:rPr>
          <w:lang w:val="en" w:eastAsia="en"/>
        </w:rPr>
        <w:tab/>
      </w:r>
      <w:r>
        <w:rPr>
          <w:lang w:val="el" w:eastAsia="el"/>
        </w:rPr>
        <w:t>Του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μετονομασία του σε «Υπουργείο Οικονομίας, Ανταγωνιστικότητας και Ναυτιλίας», μετατροπή του Υπουργείου Μακεδονίας – Θράκης σε Γενική Γραμματεία Μακεδονίας – Θράκης και υπαγωγή στο Υπουργείο Εσωτερικών της Γενικής Γραμματείας Μακεδονίας – Θράκης και της Γενικής Γραμματείας Αιγαίου και Νησιωτικής Πολιτικής». ε) Του π.δ. 189/2009 (Α’ 221) «Καθορισμός και ανακατανομή αρμοδιοτήτων των Υπουργείων».</w:t>
      </w:r>
    </w:p>
    <w:p>
      <w:pPr>
        <w:pStyle w:val="StructureList1"/>
        <w:spacing w:before="120" w:after="0"/>
        <w:rPr>
          <w:lang w:val="el" w:eastAsia="el"/>
        </w:rPr>
      </w:pPr>
      <w:r>
        <w:rPr>
          <w:lang w:val="el" w:eastAsia="el"/>
        </w:rPr>
        <w:t>στ)</w:t>
      </w:r>
      <w:r>
        <w:rPr>
          <w:lang w:val="en" w:eastAsia="en"/>
        </w:rPr>
        <w:tab/>
      </w:r>
      <w:r>
        <w:rPr>
          <w:lang w:val="el" w:eastAsia="el"/>
        </w:rPr>
        <w:t>Του π.δ. 284/1988 (Α’ 128) «Οργανισμός του Υπουργείου Οικονομικών».</w:t>
      </w:r>
    </w:p>
    <w:p>
      <w:pPr>
        <w:pStyle w:val="StructureList1"/>
        <w:spacing w:before="120" w:after="0"/>
        <w:rPr>
          <w:lang w:val="el" w:eastAsia="el"/>
        </w:rPr>
      </w:pPr>
      <w:r>
        <w:rPr>
          <w:lang w:val="el" w:eastAsia="el"/>
        </w:rPr>
        <w:t>ζ)</w:t>
      </w:r>
      <w:r>
        <w:rPr>
          <w:lang w:val="en" w:eastAsia="en"/>
        </w:rPr>
        <w:tab/>
      </w:r>
      <w:r>
        <w:rPr>
          <w:lang w:val="el" w:eastAsia="el"/>
        </w:rPr>
        <w:t>Της παρ. 1 του άρθρου 3Β του ν. 2362/95 (Α’ 247), όπως προστέθηκε με το άρθρο 5 του ν. 3871/2010 (Α’ 141), αντικαταστάθηκε με το εδ. α’ της παρ. 12 του άρθρου 49 του ν. 3943/2011 (Α’ 66) και τροποποιήθηκε με τις παρ. 12α και 12β του άρθρου 24 του ν. 4002/2011 (Α’ 180), την παρ. 7α του άρθρου 39 του ν. 4024/2011 (Α’ 226), την παρ. 16 του άρθρου 1 του ν. 4038/2012 (Α’ 14), το άρθρο 5 του ν. 4111/2013 (Α’18) και το άρθρο 19 του ν.4151/2013 (Α’103), με την οποία συστήθηκε σε κάθε Υπουργείο Γενική Διεύθυνση Οικονομικών Υπηρεσιών.</w:t>
      </w:r>
    </w:p>
    <w:p>
      <w:pPr>
        <w:pStyle w:val="StructureList1"/>
        <w:spacing w:before="120" w:after="0"/>
        <w:rPr>
          <w:lang w:val="el" w:eastAsia="el"/>
        </w:rPr>
      </w:pPr>
      <w:r>
        <w:rPr>
          <w:lang w:val="el" w:eastAsia="el"/>
        </w:rPr>
        <w:t>η)</w:t>
      </w:r>
      <w:r>
        <w:rPr>
          <w:lang w:val="en" w:eastAsia="en"/>
        </w:rPr>
        <w:tab/>
      </w:r>
      <w:r>
        <w:rPr>
          <w:lang w:val="el" w:eastAsia="el"/>
        </w:rPr>
        <w:t>Του άρθρου 81 του ν. 1892/1990 (Α’ 101) «Για τον εκσυγχρονισμό και την Ανάπτυξη και άλλες διατάξεις».</w:t>
      </w:r>
    </w:p>
    <w:p>
      <w:pPr>
        <w:spacing w:before="240" w:after="240"/>
        <w:rPr>
          <w:lang w:val="el" w:eastAsia="el"/>
        </w:rPr>
      </w:pPr>
      <w:r>
        <w:rPr>
          <w:lang w:val="el" w:eastAsia="el"/>
        </w:rPr>
        <w:t>2. Την αριθ. 1086421/2042/0006/30.11.1990 (Β’ 756) κοινή απόφαση των Υπουργών Προεδρίας της Κυβέρνησης και Οικονομικών «Εξαίρεση διοικητικών πράξεων ή εγγράφων του Υπουργείου Οικονομικών από τον περιορισμό των υπογραφών της παρ. 1 του άρθρου 81 του ν. 1892/ 1990». 3. Την αριθ. Δ6Α 1066361 ΕΞ 2012/25.4.2012 (Β’ 1363) κοινή απόφαση του Υπουργού Οικονομικών και του Υπουργού Διοικητικής Μεταρρύθμισης και Ηλεκτρονικής Διακυβέρνησης και την αριθ. Δ6Α 1131304 ΕΞ 2013/27.8.2013 (Β’ 2131) ομοία.</w:t>
      </w:r>
    </w:p>
    <w:p>
      <w:pPr>
        <w:spacing w:before="240" w:after="240"/>
        <w:rPr>
          <w:lang w:val="el" w:eastAsia="el"/>
        </w:rPr>
      </w:pPr>
      <w:r>
        <w:rPr>
          <w:lang w:val="el" w:eastAsia="el"/>
        </w:rPr>
        <w:t>4. Το π.δ. 90/2012 (Α’ 144) «Διορισμός Υπουργού και Υφυπουργών».</w:t>
      </w:r>
    </w:p>
    <w:p>
      <w:pPr>
        <w:spacing w:before="240" w:after="240"/>
        <w:rPr>
          <w:lang w:val="el" w:eastAsia="el"/>
        </w:rPr>
      </w:pPr>
      <w:r>
        <w:rPr>
          <w:lang w:val="el" w:eastAsia="el"/>
        </w:rPr>
        <w:t>5. Την αριθμ. Δ6Α1015213ΕΞ2013 απόφαση του Υπουργού Οικονομικών και του Υφυπουργού Οικονομικών (Β’ 130 και 372) «Μεταβίβαση αρμοδιοτήτων στον Γενικό Γραμματέα της Γενικής Γραμματείας Δημοσίων Εσόδων του Υπουργείου Οικονομικών», όπως τροποποιήθηκε με την αριθ. Δ6Α 1125239 ΕΞ 2013/8.8.2013 (Β’ 2003) ομοία.</w:t>
      </w:r>
    </w:p>
    <w:p>
      <w:pPr>
        <w:spacing w:before="240" w:after="240"/>
        <w:rPr>
          <w:lang w:val="el" w:eastAsia="el"/>
        </w:rPr>
      </w:pPr>
      <w:r>
        <w:rPr>
          <w:lang w:val="el" w:eastAsia="el"/>
        </w:rPr>
        <w:t>6. Την ανάγκη να διασφαλισθεί η εύρυθμη και αποτελεσματική λειτουργία των Υπηρεσιών της Γενικής Γραμματείας Δημοσίων Εσόδων του Υπουργείου Οικονομικών και να εφαρμοσθεί ο ν. 4093/2012, σχετικά με την ανάθεση στον Γενικό Γραμματέα της Γενικής Γραμματείας Δημοσίων Εσόδων της αρμοδιότητας επί θεμάτων προϋπολογισμού των οργανικών μονάδων που υπάγονται σε αυτήν.</w:t>
      </w:r>
    </w:p>
    <w:p>
      <w:pPr>
        <w:spacing w:before="240" w:after="240"/>
        <w:rPr>
          <w:lang w:val="el" w:eastAsia="el"/>
        </w:rPr>
      </w:pPr>
      <w:r>
        <w:rPr>
          <w:lang w:val="el" w:eastAsia="el"/>
        </w:rPr>
        <w:t>7.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Στον Γενικό Γραμματέα της Γενικής Γραμματείας Δημοσίων Εσόδων του Υπουργείου Οικονομικών μεταβιβάζουμε την αρμοδιότητα για τις εξής πράξεις:</w:t>
      </w:r>
    </w:p>
    <w:p>
      <w:pPr>
        <w:pStyle w:val="StructureList1"/>
        <w:spacing w:before="120" w:after="0"/>
        <w:rPr>
          <w:lang w:val="el" w:eastAsia="el"/>
        </w:rPr>
      </w:pPr>
      <w:r>
        <w:rPr>
          <w:lang w:val="el" w:eastAsia="el"/>
        </w:rPr>
        <w:t>α)</w:t>
      </w:r>
      <w:r>
        <w:rPr>
          <w:lang w:val="en" w:eastAsia="en"/>
        </w:rPr>
        <w:tab/>
      </w:r>
      <w:r>
        <w:rPr>
          <w:lang w:val="el" w:eastAsia="el"/>
        </w:rPr>
        <w:t>Αποφάσεις μεταφοράς πίστωσης από έναν κωδικό αριθμό σε άλλο κωδικό αριθμό των υπηρεσιών και των φορέων της Γενικής Γραμματείας Δημοσίων Εσόδων.</w:t>
      </w:r>
    </w:p>
    <w:p>
      <w:pPr>
        <w:pStyle w:val="StructureList1"/>
        <w:spacing w:before="120" w:after="0"/>
        <w:rPr>
          <w:lang w:val="el" w:eastAsia="el"/>
        </w:rPr>
      </w:pPr>
      <w:r>
        <w:rPr>
          <w:lang w:val="el" w:eastAsia="el"/>
        </w:rPr>
        <w:t>β)</w:t>
      </w:r>
      <w:r>
        <w:rPr>
          <w:lang w:val="en" w:eastAsia="en"/>
        </w:rPr>
        <w:tab/>
      </w:r>
      <w:r>
        <w:rPr>
          <w:lang w:val="el" w:eastAsia="el"/>
        </w:rPr>
        <w:t>Αποφάσεις ανάληψης υποχρεώσεων μέχρι του ύψους του Προϋπολογισμού Υπηρεσιών και φορέων της Γενικής Γραμματείας Δημοσίων Εσόδων.</w:t>
      </w:r>
    </w:p>
    <w:p>
      <w:pPr>
        <w:pStyle w:val="StructureList1"/>
        <w:spacing w:before="120" w:after="0"/>
        <w:rPr>
          <w:lang w:val="el" w:eastAsia="el"/>
        </w:rPr>
      </w:pPr>
      <w:r>
        <w:rPr>
          <w:lang w:val="el" w:eastAsia="el"/>
        </w:rPr>
        <w:t>γ)</w:t>
      </w:r>
      <w:r>
        <w:rPr>
          <w:lang w:val="en" w:eastAsia="en"/>
        </w:rPr>
        <w:tab/>
      </w:r>
      <w:r>
        <w:rPr>
          <w:lang w:val="el" w:eastAsia="el"/>
        </w:rPr>
        <w:t>Συμβάσεις για τα έργα των υπηρεσιών και των φορέων που υπάγονται στην Γενική Γραμματεία Δημοσίων Εσόδων, κατόπιν αιτήματος αυτών, συμπεριλαμβανομένων και των ενταγμένων σε συγχρηματοδοτούμενα από την Ευρωπαϊκή Ένωση δράσεων, μέχρι του ποσού των πέντε εκατομμυρίων (5 εκ.) ευρώ».</w:t>
      </w:r>
    </w:p>
    <w:p>
      <w:pPr>
        <w:spacing w:before="240" w:after="240"/>
        <w:rPr>
          <w:lang w:val="el" w:eastAsia="el"/>
        </w:rPr>
      </w:pPr>
      <w:r>
        <w:rPr>
          <w:lang w:val="el" w:eastAsia="el"/>
        </w:rPr>
        <w:t>2. Η αριθ. Δ6Α 1015213 ΕΞ 2013/28.1.2013 (Β’ 130 και 372) υπουργική απόφαση, όπως τροποποιήθηκε με την αριθ. Δ6Α 1125239 ΕΞ 2013/8.8.2013 (Β’ 2003) ομοία, εξακολουθεί να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25 Σεπτεμβρίου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