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 ΥΠΟΥΡΓΕΙΟ ΟΙΚΟΝΟΜΙΚΩΝ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ΔΗΜ. ΕΣΟΔΩΝ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ΓΕΝ. Δ/ΝΣΗ ΦΟΡ/ΚΩΝ ΕΛΕΓΧΩΝ &amp; ΕΙΣΠΡΑΞΗΣ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ΔΗΜΟΣΙΩΝ ΕΣΟΔΩΝ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Δ/ΝΣΗ ΕΛΕΓΧΩΝ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b/>
          <w:bCs/>
          <w:lang w:val="el" w:eastAsia="el"/>
        </w:rPr>
        <w:t>ΤΜΗΜΑ Α΄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Δ/νση: Κ. Σερβίας 10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Ταχ. Κωδ. : 101 84 ΑΘΗΝΑ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Τηλέφωνο: 210 3375203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ΘΕΜΑ</w:t>
      </w:r>
      <w:r>
        <w:rPr>
          <w:b/>
          <w:bCs/>
          <w:lang w:val="el" w:eastAsia="el"/>
        </w:rPr>
        <w:t>: Τύπος της έκθεσης ελέγχου.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ΓΕΝΙΚΟΣ ΓΡΑΜΜΑΤΕΑΣ ΔΗΜΟΣΙΩΝ ΕΣΟΔΩΝ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του άρθρου 37 του ν.4174/2013 (Φ.Ε.Κ.170 Α΄) «Φορολογικές διαδικασίες και άλλες διατάξεις».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Το γεγονός ότι με την παρούσα απόφαση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π ο φ α σ ί ζ ο υ μ 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Ο τύπος της έκθεσης ελέγχου θα έχει τη μορφή του συνημμένου υποδείγματος.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ΓΕΝΙΚΟΣ ΓΡΑΜΜΑΤΕΑΣ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ΔΗΜ.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Θ. ΘΕΟΧΑΡΗΣ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Π Ι Ν Α Κ Α Σ Δ Ι Α Ν Ο Μ Η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Όλες οι Δ.Ο.Υ.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Ελεγκτικά Κέντρα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Εθνικό Τυπογραφείο (για δημοσίευση)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Οικονομικές Επιθ/σεις – Όλοι οι Οικον. Επιθ/τές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Περιφερειακές Δ/νσεις Σ.Δ.Ο.Ε.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Αποδέκτες Πίνακα Η’ (εκτός των αριθ. 4, 10 και 11)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Συμβούλιο της Επικρατείας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Γενικός Επίτροπος Επικρατείας επί των Τακτικών Διοικητικών Δικαστηρίων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ΠΟΕ – ΔΟΥ, Ομήρου 18, 106 72,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Περιοδικό «Φορολογική Επιθεώρηση», Ομήρου 18, 106 72, Αθήνα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Γραφείο 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Γραφείο Υφυπουργού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Γραφείο Γεν. Γραμματέα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Γραφείο Γεν. Γραμματέα Πληρ. Συστημάτων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Γραφείο Ειδ. Γραμματέα Σ.Δ.Ο.Ε.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Γραφεία Γεν. Δ/ντών Φορολογίας, Φορολ. Ελέγχων, ΚΕ.Π.Υ.Ο., Οικον. Επιθ/σης, Διοικ. Υποστήριξης και Δημ. Περ. &amp; Εθν. Κληροδοτημάτων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Δ/νσεις Γεν. Δ/νσεων Φορολογίας, Φορολ. Ελέγχων, Οικον. Επιθ/σης και Διοικ. Υποστήριξης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Δ/νσεις Σ.Δ.Ο.Ε. (Κ.Υ.)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Γ.Γ.Π.Σ. – Δ/νση Εφαρμογών Η/Υ ( Δ30)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10.Διεύθυνση Επιχειρησιακού Σχεδιασμού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Διεύθυνση Ελέγχων – Τμήματα Α’, Β', Γ’, Δ’, (από 5 αντίγραφα)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Γραφείο Τύπου και Δημοσίων Σχέσεων (20 αντίγραφα)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ΓΡΑΜΜΑΤΕΙΑ 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Διεύθυνση: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ΤΚ: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Τηλ.: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ΕΚΘΕΣΗ ΕΛΕΓΧΟΥ ΠΡΟΣΔΙΟΡΙΣΜΟΥ ΦΟΡΟΥ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1. ΤΑΥΤΟΤΗΤΑ ΕΛΕΓΧΟΥ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55"/>
        <w:gridCol w:w="367"/>
        <w:gridCol w:w="5738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ΥΠΗΡΕΣΙΑ ΕΛΕΓΧΟΥ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ΕΝΤΟΛΗ ΕΛΕΓΧΟΥ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ΕΛΕΓΚΤΗΣ/ΕΣ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ΦΟΡΟΛΟΓΙΚΑ ΕΤΗ-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ΦΟΡΟΛΟΓΙΚΕΣ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ΠΕΡΙΟΔΟΙ-ΦΟΡΟΛΟΓΙΚΕΣ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ΥΠΟΘΕΣΕΙΣ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ΕΛΕΓΧΟΜΕΝΟΣ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ΕΠΩΝΥΜΟ/ΟΝΟΜΑ/ΠΑΤΡΩΝΥΜΟ ή ΕΠΩΝΥΜΙΑ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Α.Φ.Μ.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Δ.Ο.Υ. ΕΔΡΑΣ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ΔΙΑΚΡΙΤΙΚΟΣ ΤΙΤΛΟΣ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ΚΥΡΙΑ ΔΡΑΣΤΗΡΙΟΤΗΤΑ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ΔΙΕΥΘΥΝΣΗ ΕΔΡΑΣ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ΤΗΛΕΦΩΝΟ-FAX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E-mail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: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ΒΑΣΙΚΑ ΔΕΔΟΜΕΝΑ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(Αναγράφονται πληροφορίες για τον φορολογούμενο όπως η μορφή σε περίπτωση επιχείρησης, η σύστασή της, η διάρκεια, το αντικείμενο εργασιών και ο σκοπός της, τα τηρηθέντα βιβλία, το εταιρικό κεφάλαιο, η νόμιμη εκπροσώπησή της, τα συνυπόχρεα πρόσωπα για την καταβολή των φόρων, κ.λ.π.).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3. </w:t>
      </w:r>
      <w:r>
        <w:rPr>
          <w:b/>
          <w:bCs/>
          <w:lang w:val="el" w:eastAsia="el"/>
        </w:rPr>
        <w:t>ΛΕΙΤΟΥΡΓΙΚΑ ΔΕΔΟΜΕΝΑ ΦΟΡΟΛΟΓΟΥΜΕΝΟΥ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(Αναγράφονται οι επαγγελματικές εγκαταστάσεις, το απασχολούμενο προσωπικό, τα περιουσιακά στοιχεία του φορολογούμενου, κ.λ.π.).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4. </w:t>
      </w:r>
      <w:r>
        <w:rPr>
          <w:b/>
          <w:bCs/>
          <w:lang w:val="el" w:eastAsia="el"/>
        </w:rPr>
        <w:t>ΟΙΚΟΝΟΜΙΚΑ ΔΕΔΟΜΕΝΑ-ΔΗΛΩΣΕΙΣ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(Αναγράφονται τα οικονομικά δεδομένα με βάση τα τηρηθέντα βιβλία, τις υποβληθείσες δηλώσεις, κ.λ.π.).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5. </w:t>
      </w:r>
      <w:r>
        <w:rPr>
          <w:b/>
          <w:bCs/>
          <w:lang w:val="el" w:eastAsia="el"/>
        </w:rPr>
        <w:t>ΕΛΕΓΚΤΙΚΕΣ ΕΠΑΛΗΘΕΥΣΕΙΣ-ΔΙΑΠΙΣΤΩΣΕΙΣ ΕΛΕΓΧΟΥ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(Αναγράφονται οι ελεγκτικές επαληθεύσεις που έγιναν, οι διαπιστώσεις ελέγχου, καθώς και οι ισχύουσες διατάξεις).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6. </w:t>
      </w:r>
      <w:r>
        <w:rPr>
          <w:b/>
          <w:bCs/>
          <w:lang w:val="el" w:eastAsia="el"/>
        </w:rPr>
        <w:t>ΠΟΡΙΣΜΑ ΕΛΕΓΧΟΥ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(Αναγράφονται οι τελικές διαπιστώσεις του ελέγχου και το πόρισμά του επί των αποτελεσμάτων κατά ελεγχόμενο φορολογικό έτος).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7. </w:t>
      </w:r>
      <w:r>
        <w:rPr>
          <w:b/>
          <w:bCs/>
          <w:lang w:val="el" w:eastAsia="el"/>
        </w:rPr>
        <w:t>ΠΡΟΣΔΙΟΡΙΜΟΣ ΑΠΟΤΕΛΕΣΜΑΤΩΝ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(Προσδιορίζεται η φορολογική οφειλή μετά από τον έλεγχο κατά ελεγχόμενο φορολογικό έτος).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