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ΠΟΛ.1011/2.1.2014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Καθορισμός του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w:t>
      </w:r>
    </w:p>
    <w:p>
      <w:pPr>
        <w:pStyle w:val="Title"/>
        <w:spacing w:before="120" w:after="360"/>
        <w:rPr>
          <w:lang w:val="el" w:eastAsia="el"/>
        </w:rPr>
      </w:pPr>
      <w:r>
        <w:rPr>
          <w:b/>
          <w:bCs/>
          <w:lang w:val="el" w:eastAsia="el"/>
        </w:rPr>
        <w:t>ΠΟΛ 1011/2013</w:t>
      </w:r>
    </w:p>
    <w:p>
      <w:pPr>
        <w:pStyle w:val="PreambelText"/>
        <w:spacing w:before="240" w:after="240"/>
        <w:rPr>
          <w:lang w:val="el" w:eastAsia="el"/>
        </w:rPr>
      </w:pPr>
      <w:r>
        <w:rPr>
          <w:lang w:val="el" w:eastAsia="el"/>
        </w:rPr>
        <w:t>(ΦΕΚ Β' 8/08-01-2014)</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35, 36, 37 και 38 του ν. 4172/2013 (ΦΕΚ 167 Α'/23.07.2013).</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61, των περιπτώσεων α', β' και γ' της παραγράφου 1 του άρθρου 62, καθώς και των περιπτώσεων α', β' και γ' της παραγράφου 1 και των παραγράφων 6 και 7 του άρθρου 64 του ν. 4172/2013, όπως ισχύουν.</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1 του άρθρου 6 και της παραγράφου 2 του άρθρου 18 του ν. 4174/2013 (ΦΕΚ 170Α'/26.07.2013), όπως ισχύουν.</w:t>
      </w:r>
    </w:p>
    <w:p>
      <w:pPr>
        <w:pStyle w:val="StructureList1"/>
        <w:spacing w:before="120" w:after="0"/>
        <w:rPr>
          <w:lang w:val="el" w:eastAsia="el"/>
        </w:rPr>
      </w:pPr>
      <w:r>
        <w:rPr>
          <w:lang w:val="el" w:eastAsia="el"/>
        </w:rPr>
        <w:t>δ)</w:t>
      </w:r>
      <w:r>
        <w:rPr>
          <w:lang w:val="en" w:eastAsia="en"/>
        </w:rPr>
        <w:tab/>
      </w:r>
      <w:r>
        <w:rPr>
          <w:lang w:val="el" w:eastAsia="el"/>
        </w:rPr>
        <w:t>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απόδοσης παρακρατούμενου φόρου στο εισόδημα από μερίσματα, τόκους και δικαιώματα</w:t>
      </w:r>
    </w:p>
    <w:p>
      <w:pPr>
        <w:pStyle w:val="MainText"/>
        <w:spacing w:before="120" w:after="0"/>
        <w:rPr>
          <w:lang w:val="el" w:eastAsia="el"/>
        </w:rPr>
      </w:pPr>
      <w:r>
        <w:rPr>
          <w:b/>
          <w:bCs/>
          <w:lang w:val="el" w:eastAsia="el"/>
        </w:rPr>
        <w:t>1.</w:t>
      </w:r>
      <w:r>
        <w:rPr>
          <w:lang w:val="el" w:eastAsia="el"/>
        </w:rPr>
        <w:t xml:space="preserve"> Οι αρχικές εμπρόθεσμες και εκπρόθεσμες δηλώσεις απόδοσης του φόρου που παρακρατείται στο εισόδημα από μερίσματα, τόκους και δικαιώματα, οι πάσης φύσεως τροποποιητικές και συμπληρωματικές δηλώσεις από τις οποίες προκύπτει μεγαλύτερο ποσό φόρου από αυτό της αρχικής δήλωσης, καθώς και οι εμπρόθεσμες και εκπρόθεσμες μηδενικές δηλώσεις απόδοσης του φόρου που έχει παρακρατηθεί στο εισόδημα από μερίσματα, τόκους και δικαιώματα, υποβάλλονται με τη χρήση ηλεκτρονικής μεθόδου επικοινωνίας μέσω διαδικτύου, στο δικτυακό τόπο της Γενικής Γραμματείας Δημοσίων Εσόδων www.gsis.gr.</w:t>
      </w:r>
    </w:p>
    <w:p>
      <w:pPr>
        <w:pStyle w:val="MainText"/>
        <w:spacing w:before="120" w:after="0"/>
        <w:rPr>
          <w:lang w:val="el" w:eastAsia="el"/>
        </w:rPr>
      </w:pPr>
      <w:r>
        <w:rPr>
          <w:b/>
          <w:bCs/>
          <w:lang w:val="el" w:eastAsia="el"/>
        </w:rPr>
        <w:t>2.</w:t>
      </w:r>
      <w:r>
        <w:rPr>
          <w:lang w:val="el" w:eastAsia="el"/>
        </w:rPr>
        <w:t xml:space="preserve"> Οι εκπρόθεσμες τροποποιητικές δηλώσεις του φόρου που παρακρατείται στο εισόδημα από μερίσματα, τόκους και δικαιώματα, από τις οποίες προκύπτει μικρότερο ποσό φόρου από αυτό της αρχικής δήλωσης, υποβάλλονται υποχρεωτικά στη Δ.Ο.Υ. του υπόχρεου σε παρακράτηση, σε δύο (2) αντίτυπα.</w:t>
      </w:r>
    </w:p>
    <w:p>
      <w:pPr>
        <w:pStyle w:val="MainText"/>
        <w:spacing w:before="120" w:after="0"/>
        <w:rPr>
          <w:lang w:val="el" w:eastAsia="el"/>
        </w:rPr>
      </w:pPr>
      <w:r>
        <w:rPr>
          <w:b/>
          <w:bCs/>
          <w:lang w:val="el" w:eastAsia="el"/>
        </w:rPr>
        <w:t>3.</w:t>
      </w:r>
      <w:r>
        <w:rPr>
          <w:lang w:val="el" w:eastAsia="el"/>
        </w:rPr>
        <w:t xml:space="preserve"> Σε περίπτωση αποδεδειγμένης τεχνικής αδυναμίας ολοκλήρωσης της υποβολής της δήλωσης και μετά από επικοινωνία με το αρμόδιο τμήμα της Διεύθυνσης Ηλεκτρονικής Διακυβέρνησης, η δήλωση υποβάλλεται άμεσα στην αρμόδια Δ.Ο.Υ. μαζί με το σχετικό αποδεικτικό στοιχείο μη δυνατότητας υποβολής της δήλωσης.</w:t>
      </w:r>
    </w:p>
    <w:p>
      <w:pPr>
        <w:pStyle w:val="MainText"/>
        <w:spacing w:before="120" w:after="0"/>
        <w:rPr>
          <w:lang w:val="el" w:eastAsia="el"/>
        </w:rPr>
      </w:pPr>
      <w:r>
        <w:rPr>
          <w:b/>
          <w:bCs/>
          <w:lang w:val="el" w:eastAsia="el"/>
        </w:rPr>
        <w:t>4.</w:t>
      </w:r>
      <w:r>
        <w:rPr>
          <w:lang w:val="el" w:eastAsia="el"/>
        </w:rPr>
        <w:t xml:space="preserve"> Μετά την οριστικοποίηση της υποβολής της δήλωσης βεβαιώνεται ο παρακρατηθείς φόρος στην Δ.Ο.Υ. της περιφέρειας όπου βρίσκεται η επαγγελματική έδρα του υπόχρεου στην παρακράτηση και εκδίδεται «Ταυτότητα οφειλής», με βάση την οποία θα αποδίδεται ο φόρος μέσω πιστωτικών ιδρυμάτων, το αργότερο μέχρι το τέλος του δεύτερου μήνα από την ημερομηνία καταβολής της υποκείμενης σε παρακράτηση πληρωμής.</w:t>
      </w:r>
    </w:p>
    <w:p>
      <w:pPr>
        <w:pStyle w:val="MainText"/>
        <w:spacing w:before="120" w:after="0"/>
        <w:rPr>
          <w:lang w:val="el" w:eastAsia="el"/>
        </w:rPr>
      </w:pPr>
      <w:r>
        <w:rPr>
          <w:b/>
          <w:bCs/>
          <w:lang w:val="el" w:eastAsia="el"/>
        </w:rPr>
        <w:t>5.</w:t>
      </w:r>
      <w:r>
        <w:rPr>
          <w:lang w:val="el" w:eastAsia="el"/>
        </w:rPr>
        <w:t xml:space="preserve"> Σε περίπτωση μη υποβολής ή εκπρόθεσμης υποβολής της δήλωσης, καθώς και μη καταβολής ή εκπρόθεσμης καταβολής του βεβαιωθέντος φόρου επιβάλλονται οι κυρώσεις που προβλέπονται από τις διατάξεις του ν. 4174/2013.</w:t>
      </w:r>
    </w:p>
    <w:p>
      <w:pPr>
        <w:pStyle w:val="MainText"/>
        <w:spacing w:before="120" w:after="0"/>
        <w:rPr>
          <w:lang w:val="el" w:eastAsia="el"/>
        </w:rPr>
      </w:pPr>
      <w:r>
        <w:rPr>
          <w:b/>
          <w:bCs/>
          <w:lang w:val="el" w:eastAsia="el"/>
        </w:rPr>
        <w:t>6.</w:t>
      </w:r>
      <w:r>
        <w:rPr>
          <w:lang w:val="el" w:eastAsia="el"/>
        </w:rPr>
        <w:t xml:space="preserve"> Σε περίπτωση εφαρμογής της παραγράφου 3 του ίδιου άρθρου της παρούσας, αποδεικτικό υποβολής της δήλωσης του παρακρατηθέντος φόρου αποτελεί η υποβληθείσα δήλωση σφραγισμένη από τον αρμόδιο υπάλληλο της Δ.Ο.Υ. παραλαβής, με σχετική επισημείωση για την ολοκλήρωση της διαδικασίας βεβαίωσης του φόρου.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καταβολής της υποκείμενης σε παρακράτηση πληρωμής</w:t>
      </w:r>
    </w:p>
    <w:p>
      <w:pPr>
        <w:pStyle w:val="MainText"/>
        <w:spacing w:before="120" w:after="0"/>
        <w:rPr>
          <w:lang w:val="el" w:eastAsia="el"/>
        </w:rPr>
      </w:pPr>
      <w:r>
        <w:rPr>
          <w:b/>
          <w:bCs/>
          <w:lang w:val="el" w:eastAsia="el"/>
        </w:rPr>
        <w:t>1.</w:t>
      </w:r>
      <w:r>
        <w:rPr>
          <w:lang w:val="el" w:eastAsia="el"/>
        </w:rPr>
        <w:t xml:space="preserve"> Ως «καταβολή της υποκείμενης σε παρακράτηση πληρωμής» νοείται και η πίστωση των δικαιούχων με τα εισοδήματα των περιπτώσεων α', β' και γ' της παραγράφου 1 του άρθρου 62 του ν. 4172/2013.</w:t>
      </w:r>
    </w:p>
    <w:p>
      <w:pPr>
        <w:pStyle w:val="MainText"/>
        <w:spacing w:before="120" w:after="0"/>
        <w:rPr>
          <w:lang w:val="el" w:eastAsia="el"/>
        </w:rPr>
      </w:pPr>
      <w:r>
        <w:rPr>
          <w:b/>
          <w:bCs/>
          <w:lang w:val="el" w:eastAsia="el"/>
        </w:rPr>
        <w:t>2.</w:t>
      </w:r>
      <w:r>
        <w:rPr>
          <w:lang w:val="el" w:eastAsia="el"/>
        </w:rPr>
        <w:t xml:space="preserve"> Πέραν των ανωτέρω, ειδικά για το εισόδημα από μερίσματα, η καταβολή της υποκείμενης σε παρακράτηση πληρωμής σε κάθε περίπτωση νοείται ότι έχει διενεργηθεί μέσα σε ένα μήνα από την έγκριση του ισολογισμού από τα αρμόδια όργανα. Αν διανεμηθούν μερίσματα από κέρδη προηγούμενων χρήσεων, η καταβολή θεωρείται ότι έχει διενεργηθεί μέσα σε ένα μήνα από τη λήψη της απόφασης διανομής από τα αρμόδια όργανα. Ειδικά επί διανομής προμερισμάτων, η καταβολή θεωρείται ότι έχει διενεργηθεί σε κάθε περίπτωση μέσα σε ένα μήνα από τη λήψη της απόφασης διανομής από το αρμόδιο όργανο.</w:t>
      </w:r>
    </w:p>
    <w:p>
      <w:pPr>
        <w:spacing w:before="240" w:after="240"/>
        <w:rPr>
          <w:lang w:val="el" w:eastAsia="el"/>
        </w:rPr>
      </w:pPr>
      <w:r>
        <w:rPr>
          <w:lang w:val="el" w:eastAsia="el"/>
        </w:rPr>
        <w:t>Ειδικά, για τις προσωπικές εταιρείες που τηρούν διπλογραφικά βιβλία η καταβολή της υποκείμενης σε παρακράτηση πληρωμής θεωρείται ότι έχει διενεργηθεί σε κάθε περίπτωση μέσα σε ένα μήνα από την καταληκτική ημερομηνία υποβολής της δήλωσης φόρου εισοδήματος.</w:t>
      </w:r>
    </w:p>
    <w:p>
      <w:pPr>
        <w:spacing w:before="240" w:after="240"/>
        <w:rPr>
          <w:lang w:val="el" w:eastAsia="el"/>
        </w:rPr>
      </w:pPr>
      <w:r>
        <w:rPr>
          <w:lang w:val="el" w:eastAsia="el"/>
        </w:rPr>
        <w:t>Για το εισόδημα που προκύπτει από τα μαθηματικά αποθέματα, η καταβολή της σχετικής πληρωμής ενεργείται και κατά την εγγραφή τους σε πίστωση του δικαιούχου ή της εγγραφής αυτών στον οικείο λογαριασμό των βιβλίων της ασφαλιστικής εταιρίας.</w:t>
      </w:r>
    </w:p>
    <w:p>
      <w:pPr>
        <w:pStyle w:val="MainText"/>
        <w:spacing w:before="120" w:after="0"/>
        <w:rPr>
          <w:lang w:val="el" w:eastAsia="el"/>
        </w:rPr>
      </w:pPr>
      <w:r>
        <w:rPr>
          <w:b/>
          <w:bCs/>
          <w:lang w:val="el" w:eastAsia="el"/>
        </w:rPr>
        <w:t>3.</w:t>
      </w:r>
      <w:r>
        <w:rPr>
          <w:lang w:val="el" w:eastAsia="el"/>
        </w:rPr>
        <w:t xml:space="preserve"> Για το εισόδημα από τόκους των έντοκων γραμματίων του Ελληνικού Δημοσίου, η καταβολή της υποκείμενης σε παρακράτηση πληρωμής θεωρείται ότι έχει διενεργηθεί κατά την έκδοσή τους, ενώ για τα ομόλογα του Ελληνικού Δημοσίου, όταν δεν έχει μεσολαβήσει μεταβίβασή τους ή των τοκομεριδίων τους, κατά το χρόνο της εξαργύρωσης των τοκομεριδίων τους ή κατά τη λήξη τους, όταν πρόκειται για ομόλογα χωρίς τοκομερίδια (ZERO COUPON).</w:t>
      </w:r>
    </w:p>
    <w:p>
      <w:pPr>
        <w:spacing w:before="240" w:after="240"/>
        <w:rPr>
          <w:lang w:val="el" w:eastAsia="el"/>
        </w:rPr>
      </w:pPr>
      <w:r>
        <w:rPr>
          <w:lang w:val="el" w:eastAsia="el"/>
        </w:rPr>
        <w:t>Ο φόρος που παρακρατείται στις πιο πάνω πληρωμές πιστώνεται στον τηρούμενο οικείο λογαριασμό του Ελληνικού Δημοσίου στην Τράπεζα της Ελλάδος και δεν αποδίδεται με την υποβολή της δήλωσης του επόμενου άρθρου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Τύπος και περιεχόμενο των δηλώσεων απόδοσης παρακρατούμενου φόρου στα εισοδήματα από μερίσματα, τόκους και δικαιώματα</w:t>
      </w:r>
    </w:p>
    <w:p>
      <w:pPr>
        <w:pStyle w:val="MainText"/>
        <w:spacing w:before="120" w:after="0"/>
        <w:rPr>
          <w:lang w:val="el" w:eastAsia="el"/>
        </w:rPr>
      </w:pPr>
      <w:r>
        <w:rPr>
          <w:b/>
          <w:bCs/>
          <w:lang w:val="el" w:eastAsia="el"/>
        </w:rPr>
        <w:t>1.</w:t>
      </w:r>
      <w:r>
        <w:rPr>
          <w:lang w:val="el" w:eastAsia="el"/>
        </w:rPr>
        <w:t xml:space="preserve"> Ο τύπος και το περιεχόμενο των δηλώσεων απόδοσης παρακρατούμενου φόρου στα εισοδήματα από μερίσματα, τόκους και δικαιώματα, έχουν ως τα συνημμένα υποδείγματα, τα οποία επισυνάπτουμε ως παραρτήματα Α, Β και Γ της παρούσας.</w:t>
      </w:r>
    </w:p>
    <w:p>
      <w:pPr>
        <w:spacing w:before="240" w:after="240"/>
        <w:rPr>
          <w:lang w:val="el" w:eastAsia="el"/>
        </w:rPr>
      </w:pPr>
      <w:r>
        <w:rPr>
          <w:lang w:val="el" w:eastAsia="el"/>
        </w:rPr>
        <w:t>Δήλωση απόδοσης παρακρατούμενου φόρου εισοδημάτων από μερίσματα</w:t>
      </w:r>
    </w:p>
    <w:p>
      <w:pPr>
        <w:spacing w:before="240" w:after="240"/>
        <w:rPr>
          <w:lang w:val="el" w:eastAsia="el"/>
        </w:rPr>
      </w:pPr>
      <w:r>
        <w:rPr>
          <w:lang w:val="el" w:eastAsia="el"/>
        </w:rPr>
        <w:t>Δήλωση απόδοσης παρακρατούμενου φόρου εισοδημάτων από τόκους</w:t>
      </w:r>
    </w:p>
    <w:p>
      <w:pPr>
        <w:spacing w:before="240" w:after="240"/>
        <w:rPr>
          <w:lang w:val="el" w:eastAsia="el"/>
        </w:rPr>
      </w:pPr>
      <w:r>
        <w:rPr>
          <w:lang w:val="el" w:eastAsia="el"/>
        </w:rPr>
        <w:t>Δήλωση απόδοσης παρακρατούμενου φόρου εισοδημάτων από δικαιώματα</w:t>
      </w:r>
    </w:p>
    <w:p>
      <w:pPr>
        <w:pStyle w:val="MainText"/>
        <w:spacing w:before="120" w:after="0"/>
        <w:rPr>
          <w:lang w:val="el" w:eastAsia="el"/>
        </w:rPr>
      </w:pPr>
      <w:r>
        <w:rPr>
          <w:b/>
          <w:bCs/>
          <w:lang w:val="el" w:eastAsia="el"/>
        </w:rPr>
        <w:t>2.</w:t>
      </w:r>
      <w:r>
        <w:rPr>
          <w:lang w:val="el" w:eastAsia="el"/>
        </w:rPr>
        <w:t xml:space="preserve"> Οι υπόχρεοι καταχωρούν σε ηλεκτρονική φόρμα τα στοιχεία όλων των δικαιούχων. Σε περίπτωση μαζικών καταχωρήσεων (τράπεζες) θα υποβάλλονται στη Γ.Γ.Δ.Ε. με μορφή ηλεκτρονικού αρχείου.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από τη Διεύθυνση Ηλεκτρονικής Διακυβέρνησης αμέσως μετά την οριστική υποβολή των δηλώσεων απόδοσης του παρακρατηθέντος φόρου ανά υπόχρεο, με ταυτόχρονη καταχώρηση των βασικών στοιχείων παραλαβής και βεβαίωσης στο σύστημα Taxis.</w:t>
      </w:r>
    </w:p>
    <w:p>
      <w:pPr>
        <w:pStyle w:val="MainText"/>
        <w:spacing w:before="120" w:after="0"/>
        <w:rPr>
          <w:lang w:val="el" w:eastAsia="el"/>
        </w:rPr>
      </w:pPr>
      <w:r>
        <w:rPr>
          <w:b/>
          <w:bCs/>
          <w:lang w:val="el" w:eastAsia="el"/>
        </w:rPr>
        <w:t>2.</w:t>
      </w:r>
      <w:r>
        <w:rPr>
          <w:lang w:val="el" w:eastAsia="el"/>
        </w:rPr>
        <w:t xml:space="preserve"> Η αρμόδια Δ.Ο.Υ. έχει δυνατότητα εμφάνισης και εκτύπωσης των δηλώσεων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παρούσα απόφαση ισχύει για πληρωμές που πραγματοποιούνται από την 1η Ιανουαρίου 2014 και μετά. </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Ιανουαρίου 2014</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1100/2019 20.03.2019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