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 Δ/ΝΣΗ ΤΕΛΩΝΕΙΩΝ &amp; Ε.Φ.Κ.</w:t>
      </w:r>
    </w:p>
    <w:p>
      <w:pPr>
        <w:pStyle w:val="Title"/>
        <w:spacing w:before="120" w:after="360"/>
        <w:rPr>
          <w:lang w:val="el" w:eastAsia="el"/>
        </w:rPr>
      </w:pPr>
      <w:r>
        <w:rPr>
          <w:b/>
          <w:bCs/>
          <w:lang w:val="el" w:eastAsia="el"/>
        </w:rPr>
        <w:t>Δ/ΝΣΗ 33</w:t>
      </w:r>
      <w:r>
        <w:rPr>
          <w:b/>
          <w:bCs/>
          <w:sz w:val="30"/>
          <w:szCs w:val="30"/>
          <w:vertAlign w:val="superscript"/>
          <w:lang w:val="el" w:eastAsia="el"/>
        </w:rPr>
        <w:t>Η</w:t>
      </w:r>
      <w:r>
        <w:rPr>
          <w:b/>
          <w:bCs/>
          <w:lang w:val="el" w:eastAsia="el"/>
        </w:rPr>
        <w:t xml:space="preserve"> - ΕΛΕΓΧΟΥ ΤΕΛΩΝΕΙΩΝ</w:t>
      </w:r>
    </w:p>
    <w:p>
      <w:pPr>
        <w:pStyle w:val="Heading1"/>
        <w:spacing w:before="240" w:after="240"/>
        <w:rPr>
          <w:lang w:val="el" w:eastAsia="el"/>
        </w:rPr>
      </w:pPr>
      <w:r>
        <w:rPr>
          <w:b/>
          <w:bCs/>
          <w:lang w:val="el" w:eastAsia="el"/>
        </w:rPr>
        <w:t>Τμήμα Δ’</w:t>
      </w:r>
    </w:p>
    <w:p>
      <w:pPr>
        <w:pStyle w:val="Heading1"/>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 ΔΑΣΜΟΛΟΓΙΚΗ</w:t>
      </w:r>
    </w:p>
    <w:p>
      <w:pPr>
        <w:spacing w:before="240" w:after="240"/>
        <w:rPr>
          <w:lang w:val="el" w:eastAsia="el"/>
        </w:rPr>
      </w:pPr>
      <w:r>
        <w:rPr>
          <w:b/>
          <w:bCs/>
          <w:lang w:val="el" w:eastAsia="el"/>
        </w:rPr>
        <w:t>Τμήματα Α’, Γ’, Ε’</w:t>
      </w:r>
    </w:p>
    <w:p>
      <w:pPr>
        <w:spacing w:before="240" w:after="240"/>
        <w:rPr>
          <w:lang w:val="el" w:eastAsia="el"/>
        </w:rPr>
      </w:pPr>
      <w:r>
        <w:rPr>
          <w:b/>
          <w:bCs/>
          <w:lang w:val="el" w:eastAsia="el"/>
        </w:rPr>
        <w:t>Δ/ΝΣΗ 18</w:t>
      </w:r>
      <w:r>
        <w:rPr>
          <w:b/>
          <w:bCs/>
          <w:sz w:val="30"/>
          <w:szCs w:val="30"/>
          <w:vertAlign w:val="superscript"/>
          <w:lang w:val="el" w:eastAsia="el"/>
        </w:rPr>
        <w:t>Η</w:t>
      </w:r>
      <w:r>
        <w:rPr>
          <w:b/>
          <w:bCs/>
          <w:lang w:val="el" w:eastAsia="el"/>
        </w:rPr>
        <w:t xml:space="preserve"> - ΤΕΛΩΝΕΙΑΚΩΝ ΟΙΚΟΝΟΜΙΚΩΝ ΣΥΣΤΗΜΑΤΩΝ</w:t>
      </w:r>
    </w:p>
    <w:p>
      <w:pPr>
        <w:spacing w:before="240" w:after="240"/>
        <w:rPr>
          <w:lang w:val="el" w:eastAsia="el"/>
        </w:rPr>
      </w:pPr>
      <w:r>
        <w:rPr>
          <w:b/>
          <w:bCs/>
          <w:lang w:val="el" w:eastAsia="el"/>
        </w:rPr>
        <w:t>Τμήματα Α’, Β’, Γ’</w:t>
      </w:r>
    </w:p>
    <w:p>
      <w:pPr>
        <w:spacing w:before="240" w:after="240"/>
        <w:rPr>
          <w:lang w:val="el" w:eastAsia="el"/>
        </w:rPr>
      </w:pPr>
      <w:r>
        <w:rPr>
          <w:b/>
          <w:bCs/>
          <w:lang w:val="el" w:eastAsia="el"/>
        </w:rPr>
        <w:t>Δ/ΝΣΗ 19</w:t>
      </w:r>
      <w:r>
        <w:rPr>
          <w:b/>
          <w:bCs/>
          <w:sz w:val="30"/>
          <w:szCs w:val="30"/>
          <w:vertAlign w:val="superscript"/>
          <w:lang w:val="el" w:eastAsia="el"/>
        </w:rPr>
        <w:t>η</w:t>
      </w:r>
      <w:r>
        <w:rPr>
          <w:b/>
          <w:bCs/>
          <w:lang w:val="el" w:eastAsia="el"/>
        </w:rPr>
        <w:t xml:space="preserve"> - ΤΕΛΩΝΕΙΑΚΩΝ ΔΙΑΔΙΚΑΣΙΩΝ</w:t>
      </w:r>
    </w:p>
    <w:p>
      <w:pPr>
        <w:spacing w:before="240" w:after="240"/>
        <w:rPr>
          <w:lang w:val="el" w:eastAsia="el"/>
        </w:rPr>
      </w:pPr>
      <w:r>
        <w:rPr>
          <w:b/>
          <w:bCs/>
          <w:lang w:val="el" w:eastAsia="el"/>
        </w:rPr>
        <w:t>Τμήματα Α’, Γ’</w:t>
      </w:r>
    </w:p>
    <w:p>
      <w:pPr>
        <w:spacing w:before="240" w:after="240"/>
        <w:rPr>
          <w:lang w:val="el" w:eastAsia="el"/>
        </w:rPr>
      </w:pPr>
      <w:r>
        <w:rPr>
          <w:b/>
          <w:bCs/>
          <w:lang w:val="el" w:eastAsia="el"/>
        </w:rPr>
        <w:t>Δ/ΝΣΗ ΕΦΚ - ΕΙΔΙΚΩΝ ΦΟΡΩΝ ΚΑΤΑΝΑΛΩΣΗΣ</w:t>
      </w:r>
    </w:p>
    <w:p>
      <w:pPr>
        <w:spacing w:before="240" w:after="240"/>
        <w:rPr>
          <w:lang w:val="el" w:eastAsia="el"/>
        </w:rPr>
      </w:pPr>
      <w:r>
        <w:rPr>
          <w:b/>
          <w:bCs/>
          <w:lang w:val="el" w:eastAsia="el"/>
        </w:rPr>
        <w:t>Τμήματα Α’, Β’,Γ’</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b/>
          <w:bCs/>
          <w:lang w:val="el" w:eastAsia="el"/>
        </w:rPr>
        <w:t xml:space="preserve">FAX: </w:t>
      </w:r>
      <w:r>
        <w:rPr>
          <w:lang w:val="el" w:eastAsia="el"/>
        </w:rPr>
        <w:t>210-7259251</w:t>
      </w:r>
    </w:p>
    <w:p>
      <w:pPr>
        <w:spacing w:before="240" w:after="240"/>
        <w:rPr>
          <w:lang w:val="el" w:eastAsia="el"/>
        </w:rPr>
      </w:pPr>
      <w:r>
        <w:rPr>
          <w:b/>
          <w:bCs/>
          <w:lang w:val="el" w:eastAsia="el"/>
        </w:rPr>
        <w:t xml:space="preserve">Email: </w:t>
      </w:r>
      <w:hyperlink r:id="rId4" w:history="1">
        <w:r>
          <w:rPr>
            <w:rStyle w:val="Hyperlink"/>
            <w:color w:val="0000EE"/>
            <w:u w:color="0000EE"/>
            <w:lang w:val="el" w:eastAsia="el"/>
          </w:rPr>
          <w:t>d33risk@otenet.gr</w:t>
        </w:r>
      </w:hyperlink>
    </w:p>
    <w:p>
      <w:pPr>
        <w:spacing w:before="240" w:after="240"/>
        <w:rPr>
          <w:lang w:val="el" w:eastAsia="el"/>
        </w:rPr>
      </w:pPr>
      <w:r>
        <w:rPr>
          <w:b/>
          <w:bCs/>
          <w:lang w:val="el" w:eastAsia="el"/>
        </w:rPr>
        <w:t>ΘΕΜΑ</w:t>
      </w:r>
      <w:r>
        <w:rPr>
          <w:lang w:val="el" w:eastAsia="el"/>
        </w:rPr>
        <w:t>: «Εφαρμογή της Ανάλυσης Κινδύνου στους τελωνειακούς ελέγχους όλων των εμπορευμάτων»</w:t>
      </w:r>
    </w:p>
    <w:p>
      <w:pPr>
        <w:spacing w:before="240" w:after="240"/>
        <w:rPr>
          <w:lang w:val="el" w:eastAsia="el"/>
        </w:rPr>
      </w:pPr>
      <w:r>
        <w:rPr>
          <w:b/>
          <w:bCs/>
          <w:lang w:val="el" w:eastAsia="el"/>
        </w:rPr>
        <w:t>ΑΠΟΦΑΣΗΟ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4 παρ.26, 13 παρ. 2, 61, 68, 71 και 73 Καν. (ΕΟΚ) αριθ. 2913/92 «περί θεσπίσεως Κοινοτικού Τελωνειακού Κώδικα και των άρθρων 4στ, παρ. 1, 2, 222 έως 224, 247, 592α, 592ζ, 786 παρ. 2β και επόμενα του Καν. (ΕΟΚ) 2454/93 «περί διατάξεων εφαρμογής του Κοινοτικού Τελωνειακού Κώδικα.</w:t>
      </w:r>
    </w:p>
    <w:p>
      <w:pPr>
        <w:spacing w:before="240" w:after="240"/>
        <w:rPr>
          <w:lang w:val="el" w:eastAsia="el"/>
        </w:rPr>
      </w:pPr>
      <w:r>
        <w:rPr>
          <w:lang w:val="el" w:eastAsia="el"/>
        </w:rPr>
        <w:t>2. Τις διατάξεις του άρθρου 3 και 33 παράγραφος 3 σημείο β) του Εθνικού Τελωνειακού Κώδικα (Ν.2960/2001).</w:t>
      </w:r>
    </w:p>
    <w:p>
      <w:pPr>
        <w:spacing w:before="240" w:after="240"/>
        <w:rPr>
          <w:lang w:val="el" w:eastAsia="el"/>
        </w:rPr>
      </w:pPr>
      <w:r>
        <w:rPr>
          <w:lang w:val="el" w:eastAsia="el"/>
        </w:rPr>
        <w:t>3. Τις διατάξεις του άρθρου 19 του Ν. 2096/52 «περί τροποποιήσεως και συμπληρώσεως διατάξεων τινών του Τελωνειακού Κώδικα και άλλων τινών διατάξεων».</w:t>
      </w:r>
    </w:p>
    <w:p>
      <w:pPr>
        <w:spacing w:before="240" w:after="240"/>
        <w:rPr>
          <w:lang w:val="el" w:eastAsia="el"/>
        </w:rPr>
      </w:pPr>
      <w:r>
        <w:rPr>
          <w:lang w:val="el" w:eastAsia="el"/>
        </w:rPr>
        <w:t>4. Τις διατάξεις του νόμου 4046/2012 (ΦΕΚ 28/14/02/2012) «Μνημόνιο Συνεννόησης για τη διάσωση της εθνικής οικονομίας».</w:t>
      </w:r>
    </w:p>
    <w:p>
      <w:pPr>
        <w:spacing w:before="240" w:after="240"/>
        <w:rPr>
          <w:lang w:val="el" w:eastAsia="el"/>
        </w:rPr>
      </w:pPr>
      <w:r>
        <w:rPr>
          <w:lang w:val="el" w:eastAsia="el"/>
        </w:rPr>
        <w:t>5. Τις διατάξεις του άρθρου 5 του Π.Δ. 203/2000 (ΦΕΚ 183/21-08-2000) «περί σύστασης Τμήματος Ανάλυσης Κινδύνου στην Δ/νση Ελέγχου Τελωνείων».</w:t>
      </w:r>
    </w:p>
    <w:p>
      <w:pPr>
        <w:spacing w:before="240" w:after="240"/>
        <w:rPr>
          <w:lang w:val="el" w:eastAsia="el"/>
        </w:rPr>
      </w:pPr>
      <w:r>
        <w:rPr>
          <w:lang w:val="el" w:eastAsia="el"/>
        </w:rPr>
        <w:t>6. Τις διατάξεις της Δ33Δ 5036742ΕΞ/2013/14-10-2013 (ΦΕΚ 2676/B΄/21-10-2013) Α.Υ.Ο, για τη «Διαχείριση αποτελεσμάτων Ανάλυσης κινδύνου του πληροφοριακού συστήματος τελωνείων (ΟΠΣΤ) και οποιουδήποτε Νέου ή διάδοχου Πληροφοριακού Συστήματος Τελωνείων, από τις τελωνειακές αρχές της χώρας – Τροποποίηση της ΑΥΟ Τ6507/8127/22.12.2000»</w:t>
      </w:r>
    </w:p>
    <w:p>
      <w:pPr>
        <w:spacing w:before="240" w:after="240"/>
        <w:rPr>
          <w:lang w:val="el" w:eastAsia="el"/>
        </w:rPr>
      </w:pPr>
      <w:r>
        <w:rPr>
          <w:lang w:val="el" w:eastAsia="el"/>
        </w:rPr>
        <w:t>7. Τις διατάξεις της Τ.1940/41/2003 ΑΥΟΟ (ΦΕΚ 516/Β’/2-05-2003) «Τελωνειακές διαδικασίες εφοδιασμού πλοίων, αεροσκαφών, διπλωματικών αποστολών και λοιπών προορισμών με τροφοεφόδια, καπνικά, καύσιμα κλπ».</w:t>
      </w:r>
    </w:p>
    <w:p>
      <w:pPr>
        <w:spacing w:before="240" w:after="240"/>
        <w:rPr>
          <w:lang w:val="el" w:eastAsia="el"/>
        </w:rPr>
      </w:pPr>
      <w:r>
        <w:rPr>
          <w:lang w:val="el" w:eastAsia="el"/>
        </w:rPr>
        <w:t>8. Την ανάγκη άμεσης προώθησης και εφαρμογής της Εθνικής Στρατηγικής Εξαγωγών, όπως αυτή έχει αποτυπωθεί και περιγράφεται στην Εθνική Στρατηγική &amp; Οδικό Χάρτη για τη Διευκόλυνση του Εξωτερικού Εμπορίου.</w:t>
      </w:r>
    </w:p>
    <w:p>
      <w:pPr>
        <w:spacing w:before="240" w:after="240"/>
        <w:rPr>
          <w:lang w:val="el" w:eastAsia="el"/>
        </w:rPr>
      </w:pPr>
      <w:r>
        <w:rPr>
          <w:lang w:val="el" w:eastAsia="el"/>
        </w:rPr>
        <w:t>9. Την ανάγκη διενέργειας επιλεκτικών φυσικών ελέγχων και ελέγχων εγγράφων κατά τον τελωνισμό εμπορευμάτων, βάσει συγκεκριμένων κριτηρίων ή τυχαίου δείγματος, μέσω της εφαρμογής του υποσυστήματος Ανάλυσης Κινδύνου.</w:t>
      </w:r>
    </w:p>
    <w:p>
      <w:pPr>
        <w:spacing w:before="240" w:after="240"/>
        <w:rPr>
          <w:lang w:val="el" w:eastAsia="el"/>
        </w:rPr>
      </w:pPr>
      <w:r>
        <w:rPr>
          <w:lang w:val="el" w:eastAsia="el"/>
        </w:rPr>
        <w:t>10. Το ότι σύμφωνα με τις Κοινοτικές και Εθνικές διατάξεις, έχουν θεσπιστεί και διενεργούνται μετά την έκδοση της άδειας παράδοσης, εκ των υστέρων έλεγχοι ή επανεξέταση των διασαφήσεων με έλεγχο των παραστατικών και εμπορικών στοιχείων των σχετικών με τις πράξεις εισαγωγής ή εξαγωγής των εμπορευμάτων, καθώς και με τις μεταγενέστερες εμπορικές πράξεις που αφορούν τα ίδια εμπορεύματα, καθώς και εξέταση των εμπορευμάτων όταν αυτά είναι ακόμα δυνατόν να προσκομιστούν, τόσο στα Τελωνεία, όσο και στις εγκαταστάσεις των επιχειρήσεων.</w:t>
      </w:r>
    </w:p>
    <w:p>
      <w:pPr>
        <w:spacing w:before="240" w:after="240"/>
        <w:rPr>
          <w:lang w:val="el" w:eastAsia="el"/>
        </w:rPr>
      </w:pPr>
      <w:r>
        <w:rPr>
          <w:lang w:val="el" w:eastAsia="el"/>
        </w:rPr>
        <w:t>11. Την ανάγκη λήψης μέτρων προς υποστήριξη του παραπάνω υποσυστήματος που στοχεύει στην ταχεία διεκπεραίωση των διαδικασιών και διατυπώσεων προς όφελος των νομίμων συναλλαγών.</w:t>
      </w:r>
    </w:p>
    <w:p>
      <w:pPr>
        <w:spacing w:before="240" w:after="240"/>
        <w:rPr>
          <w:lang w:val="el" w:eastAsia="el"/>
        </w:rPr>
      </w:pPr>
      <w:r>
        <w:rPr>
          <w:lang w:val="el" w:eastAsia="el"/>
        </w:rPr>
        <w:t>12. Την αριθ. ΥΠΟΙΚ 07927 ΕΞ Απόφαση του Πρωθυπουργού και του Υπουργού Οικονομικών «Ανάθεση αρμοδιοτήτων στον Υφυπουργό Οικονομικών Γεώργιο Μαυραγάνη» (ΦΕΚ 2574/ 24-09-2012).</w:t>
      </w:r>
    </w:p>
    <w:p>
      <w:pPr>
        <w:spacing w:before="240" w:after="240"/>
        <w:rPr>
          <w:lang w:val="el" w:eastAsia="el"/>
        </w:rPr>
      </w:pPr>
      <w:r>
        <w:rPr>
          <w:lang w:val="el" w:eastAsia="el"/>
        </w:rPr>
        <w:t>13. Την αριθ. Δ6Α 1196756ΕΞ2013 Απόφαση του Υπουργού και Υφυπουργού Οικονομικών (ΦΕΚ 3317/Β΄/27-12-2013) με την οποία συμπληρώνεται η Δ6Α 1015213ΕΞ2013 Απόφαση «Μεταβίβαση αρμοδιοτήτων στον Γενικό Γραμματέα της Γενικής Γραμματείας Δημοσίων Εσόδων του Υπουργείου Οικονομικών» (ΦΕΚ 130</w:t>
      </w:r>
      <w:r>
        <w:rPr>
          <w:i/>
          <w:iCs/>
          <w:lang w:val="el" w:eastAsia="el"/>
        </w:rPr>
        <w:t>/</w:t>
      </w:r>
      <w:r>
        <w:rPr>
          <w:lang w:val="el" w:eastAsia="el"/>
        </w:rPr>
        <w:t>28-01-2013).</w:t>
      </w:r>
    </w:p>
    <w:p>
      <w:pPr>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(άρθρο 90 του Π.Δ. 63/2005, ΦΕΚ 98/22-04-2005).</w:t>
      </w:r>
    </w:p>
    <w:p>
      <w:pPr>
        <w:spacing w:before="240" w:after="240"/>
        <w:rPr>
          <w:lang w:val="el" w:eastAsia="el"/>
        </w:rPr>
      </w:pPr>
      <w:r>
        <w:rPr>
          <w:lang w:val="el" w:eastAsia="el"/>
        </w:rPr>
        <w:t>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Οι τελωνειακοί έλεγχοι κατά την εξαγωγή όλων των εμπορευμάτων, συμπεριλαμβανομένων και των ειδών που υπόκεινται σε Ειδικούς Φόρους Κατανάλωσης, καθώς και οι τελωνειακοί έλεγχοι στις περιπτώσεις εφοδιασμού πλοίων, αεροσκαφών, διπλωματικών αποστολών κλπ, καθορίζονται με βάση κριτήρια ανάλυσης κινδύνου και υποδεικνύονται από το πληροφοριακό σύστημα τελωνείων.</w:t>
      </w:r>
    </w:p>
    <w:p>
      <w:pPr>
        <w:pStyle w:val="MainText"/>
        <w:spacing w:before="120" w:after="0"/>
        <w:rPr>
          <w:lang w:val="el" w:eastAsia="el"/>
        </w:rPr>
      </w:pPr>
      <w:r>
        <w:rPr>
          <w:b/>
          <w:bCs/>
          <w:lang w:val="el" w:eastAsia="el"/>
        </w:rPr>
        <w:t>2.</w:t>
      </w:r>
      <w:r>
        <w:rPr>
          <w:lang w:val="el" w:eastAsia="el"/>
        </w:rPr>
        <w:t xml:space="preserve"> Δυνατότητα αναβάθμισης του αποτελέσματος που υποδεικνύει το πληροφοριακό σύστημα, παρέχεται στις Τελωνειακές Αρχές σε εξαιρετικές περιπτώσεις, σύμφωνα με τις εκάστοτε οδηγίες της αρμόδιας για τους ελέγχους Διεύθυνσης της Γενικής Διεύθυνσης Τελωνείων &amp; Ε.Φ.Κ.</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3.</w:t>
      </w:r>
      <w:r>
        <w:rPr>
          <w:lang w:val="el" w:eastAsia="el"/>
        </w:rPr>
        <w:t xml:space="preserve"> Από την έναρξη ισχύος της παρούσας καταργείται κάθε άλλη γενική ή ειδική κανονιστική διάταξη που αντίκειται στα ρυθμιζόμενα, με την παρούσα, θέματα.</w:t>
      </w:r>
    </w:p>
    <w:p>
      <w:pPr>
        <w:pStyle w:val="MainText"/>
        <w:spacing w:before="120" w:after="0"/>
        <w:rPr>
          <w:lang w:val="el" w:eastAsia="el"/>
        </w:rPr>
      </w:pPr>
      <w:r>
        <w:rPr>
          <w:b/>
          <w:bCs/>
          <w:lang w:val="el" w:eastAsia="el"/>
        </w:rPr>
        <w:t>4.</w:t>
      </w:r>
      <w:r>
        <w:rPr>
          <w:lang w:val="el" w:eastAsia="el"/>
        </w:rPr>
        <w:t xml:space="preserve"> Η παρούσα να δημοσιευθεί στην Εφημερίδα της Κυβερνήσεως. Η ισχύς της Απόφασης αρχίζει από την δημοσίευσή της στην Εφημερίδα της Κυβέρνησης.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ΘΕΟΧΑΡΗΣ ΘΕΟΧΑΡΗΣ</w:t>
      </w:r>
    </w:p>
    <w:p>
      <w:pPr>
        <w:spacing w:before="240" w:after="240"/>
        <w:rPr>
          <w:lang w:val="el" w:eastAsia="el"/>
        </w:rPr>
      </w:pPr>
      <w:r>
        <w:rPr>
          <w:u w:val="single"/>
          <w:lang w:val="el" w:eastAsia="el"/>
        </w:rPr>
        <w:t>Πίνακας Διανομής:</w:t>
      </w:r>
    </w:p>
    <w:p>
      <w:pPr>
        <w:spacing w:before="240" w:after="240"/>
        <w:rPr>
          <w:lang w:val="el" w:eastAsia="el"/>
        </w:rPr>
      </w:pPr>
      <w:r>
        <w:rPr>
          <w:u w:val="single"/>
          <w:lang w:val="el" w:eastAsia="el"/>
        </w:rPr>
        <w:t>Αποδέκτες προς Κοινοποίηση:</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της απόφασης)</w:t>
      </w:r>
    </w:p>
    <w:p>
      <w:pPr>
        <w:pStyle w:val="MainText"/>
        <w:spacing w:before="120" w:after="0"/>
        <w:rPr>
          <w:lang w:val="el" w:eastAsia="el"/>
        </w:rPr>
      </w:pPr>
      <w:r>
        <w:rPr>
          <w:b/>
          <w:bCs/>
          <w:lang w:val="el" w:eastAsia="el"/>
        </w:rPr>
        <w:t>2.</w:t>
      </w:r>
      <w:r>
        <w:rPr>
          <w:lang w:val="el" w:eastAsia="el"/>
        </w:rPr>
        <w:t xml:space="preserve"> Γεν. Δ/νση Οικονομικής Επιθεώρησης</w:t>
      </w:r>
    </w:p>
    <w:p>
      <w:pPr>
        <w:pStyle w:val="MainText"/>
        <w:spacing w:before="120" w:after="0"/>
        <w:rPr>
          <w:lang w:val="el" w:eastAsia="el"/>
        </w:rPr>
      </w:pPr>
      <w:r>
        <w:rPr>
          <w:b/>
          <w:bCs/>
          <w:lang w:val="el" w:eastAsia="el"/>
        </w:rPr>
        <w:t>3.</w:t>
      </w:r>
      <w:r>
        <w:rPr>
          <w:lang w:val="el" w:eastAsia="el"/>
        </w:rPr>
        <w:t xml:space="preserve"> Τελωνειακές Περιφέρειες</w:t>
      </w:r>
    </w:p>
    <w:p>
      <w:pPr>
        <w:pStyle w:val="MainText"/>
        <w:spacing w:before="120" w:after="0"/>
        <w:rPr>
          <w:lang w:val="el" w:eastAsia="el"/>
        </w:rPr>
      </w:pPr>
      <w:r>
        <w:rPr>
          <w:b/>
          <w:bCs/>
          <w:lang w:val="el" w:eastAsia="el"/>
        </w:rPr>
        <w:t>4.</w:t>
      </w:r>
      <w:r>
        <w:rPr>
          <w:lang w:val="el" w:eastAsia="el"/>
        </w:rPr>
        <w:t xml:space="preserve"> ΕΛΥΤ Αττικής, Θεσσαλονίκης</w:t>
      </w:r>
    </w:p>
    <w:p>
      <w:pPr>
        <w:spacing w:before="240" w:after="240"/>
        <w:rPr>
          <w:lang w:val="el" w:eastAsia="el"/>
        </w:rPr>
      </w:pPr>
      <w:r>
        <w:rPr>
          <w:u w:val="single"/>
          <w:lang w:val="el" w:eastAsia="el"/>
        </w:rPr>
        <w:t>Εσωτερική διανομή:</w:t>
      </w:r>
    </w:p>
    <w:p>
      <w:pPr>
        <w:pStyle w:val="MainText"/>
        <w:spacing w:before="120" w:after="0"/>
        <w:rPr>
          <w:lang w:val="el" w:eastAsia="el"/>
        </w:rPr>
      </w:pPr>
      <w:r>
        <w:rPr>
          <w:b/>
          <w:bCs/>
          <w:lang w:val="el" w:eastAsia="el"/>
        </w:rPr>
        <w:t>1.</w:t>
      </w:r>
      <w:r>
        <w:rPr>
          <w:lang w:val="el" w:eastAsia="el"/>
        </w:rPr>
        <w:t xml:space="preserve"> Γραφείο κ. Υφυπουργού</w:t>
      </w:r>
    </w:p>
    <w:p>
      <w:pPr>
        <w:pStyle w:val="MainText"/>
        <w:spacing w:before="120" w:after="0"/>
        <w:rPr>
          <w:lang w:val="el" w:eastAsia="el"/>
        </w:rPr>
      </w:pPr>
      <w:r>
        <w:rPr>
          <w:b/>
          <w:bCs/>
          <w:lang w:val="el" w:eastAsia="el"/>
        </w:rPr>
        <w:t>2.</w:t>
      </w:r>
      <w:r>
        <w:rPr>
          <w:lang w:val="el" w:eastAsia="el"/>
        </w:rPr>
        <w:t xml:space="preserve"> Γενική Γραμματεία Δημοσίων Εσόδων: Γραφείο κ. Γενικού Γραμματέα</w:t>
      </w:r>
    </w:p>
    <w:p>
      <w:pPr>
        <w:pStyle w:val="MainText"/>
        <w:spacing w:before="120" w:after="0"/>
        <w:rPr>
          <w:lang w:val="el" w:eastAsia="el"/>
        </w:rPr>
      </w:pPr>
      <w:r>
        <w:rPr>
          <w:b/>
          <w:bCs/>
          <w:lang w:val="el" w:eastAsia="el"/>
        </w:rPr>
        <w:t>3.</w:t>
      </w:r>
      <w:r>
        <w:rPr>
          <w:lang w:val="el" w:eastAsia="el"/>
        </w:rPr>
        <w:t xml:space="preserve"> Γενική Δ/νση Τελωνείων &amp; Ε.Φ.Κ.: Γραφείο κ. Γενικού Δ/ντη</w:t>
      </w:r>
    </w:p>
    <w:p>
      <w:pPr>
        <w:pStyle w:val="MainText"/>
        <w:spacing w:before="120" w:after="0"/>
        <w:rPr>
          <w:lang w:val="el" w:eastAsia="el"/>
        </w:rPr>
      </w:pPr>
      <w:r>
        <w:rPr>
          <w:b/>
          <w:bCs/>
          <w:lang w:val="el" w:eastAsia="el"/>
        </w:rPr>
        <w:t>4.</w:t>
      </w:r>
      <w:r>
        <w:rPr>
          <w:lang w:val="el" w:eastAsia="el"/>
        </w:rPr>
        <w:t xml:space="preserve"> Δ/νση 17</w:t>
      </w:r>
      <w:r>
        <w:rPr>
          <w:sz w:val="30"/>
          <w:szCs w:val="30"/>
          <w:vertAlign w:val="superscript"/>
          <w:lang w:val="el" w:eastAsia="el"/>
        </w:rPr>
        <w:t>η</w:t>
      </w:r>
      <w:r>
        <w:rPr>
          <w:lang w:val="el" w:eastAsia="el"/>
        </w:rPr>
        <w:t xml:space="preserve"> - Δασμολογική</w:t>
      </w:r>
    </w:p>
    <w:p>
      <w:pPr>
        <w:pStyle w:val="MainText"/>
        <w:spacing w:before="120" w:after="0"/>
        <w:rPr>
          <w:lang w:val="el" w:eastAsia="el"/>
        </w:rPr>
      </w:pPr>
      <w:r>
        <w:rPr>
          <w:b/>
          <w:bCs/>
          <w:lang w:val="el" w:eastAsia="el"/>
        </w:rPr>
        <w:t>5.</w:t>
      </w:r>
      <w:r>
        <w:rPr>
          <w:lang w:val="el" w:eastAsia="el"/>
        </w:rPr>
        <w:t xml:space="preserve"> Δ/νση 18</w:t>
      </w:r>
      <w:r>
        <w:rPr>
          <w:sz w:val="30"/>
          <w:szCs w:val="30"/>
          <w:vertAlign w:val="superscript"/>
          <w:lang w:val="el" w:eastAsia="el"/>
        </w:rPr>
        <w:t>η</w:t>
      </w:r>
      <w:r>
        <w:rPr>
          <w:lang w:val="el" w:eastAsia="el"/>
        </w:rPr>
        <w:t xml:space="preserve"> - Τελωνειακών Οικονομικών Συστημάτων</w:t>
      </w:r>
    </w:p>
    <w:p>
      <w:pPr>
        <w:pStyle w:val="MainText"/>
        <w:spacing w:before="120" w:after="0"/>
        <w:rPr>
          <w:lang w:val="el" w:eastAsia="el"/>
        </w:rPr>
      </w:pPr>
      <w:r>
        <w:rPr>
          <w:b/>
          <w:bCs/>
          <w:lang w:val="el" w:eastAsia="el"/>
        </w:rPr>
        <w:t>6.</w:t>
      </w:r>
      <w:r>
        <w:rPr>
          <w:lang w:val="el" w:eastAsia="el"/>
        </w:rPr>
        <w:t xml:space="preserve"> Δ/νση 19</w:t>
      </w:r>
      <w:r>
        <w:rPr>
          <w:sz w:val="30"/>
          <w:szCs w:val="30"/>
          <w:vertAlign w:val="superscript"/>
          <w:lang w:val="el" w:eastAsia="el"/>
        </w:rPr>
        <w:t>η</w:t>
      </w:r>
      <w:r>
        <w:rPr>
          <w:lang w:val="el" w:eastAsia="el"/>
        </w:rPr>
        <w:t xml:space="preserve"> -Τελωνειακών Διαδικασιών</w:t>
      </w:r>
    </w:p>
    <w:p>
      <w:pPr>
        <w:pStyle w:val="MainText"/>
        <w:spacing w:before="120" w:after="0"/>
        <w:rPr>
          <w:lang w:val="el" w:eastAsia="el"/>
        </w:rPr>
      </w:pPr>
      <w:r>
        <w:rPr>
          <w:b/>
          <w:bCs/>
          <w:lang w:val="el" w:eastAsia="el"/>
        </w:rPr>
        <w:t>7.</w:t>
      </w:r>
      <w:r>
        <w:rPr>
          <w:lang w:val="el" w:eastAsia="el"/>
        </w:rPr>
        <w:t xml:space="preserve"> Δ/νση ΕΦΚ - Ειδικών Φόρων Κατανάλωσης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33risk@oten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