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πρωτ.: ΔΠΕΙΣ 1198598 ΕΞ 31.12.2013</w:t>
      </w:r>
    </w:p>
    <w:p>
      <w:pPr>
        <w:pStyle w:val="Title"/>
        <w:spacing w:before="120" w:after="360"/>
        <w:rPr>
          <w:lang w:val="el" w:eastAsia="el"/>
        </w:rPr>
      </w:pPr>
      <w:r>
        <w:rPr>
          <w:lang w:val="el" w:eastAsia="el"/>
        </w:rPr>
        <w:t>Καθορισμός των επιτοκίων του άρθρου 53 του ν.4174/2013</w:t>
      </w:r>
    </w:p>
    <w:p>
      <w:pPr>
        <w:pStyle w:val="PreambelText"/>
        <w:spacing w:before="240" w:after="240"/>
        <w:rPr>
          <w:lang w:val="el" w:eastAsia="el"/>
        </w:rPr>
      </w:pPr>
      <w:r>
        <w:rPr>
          <w:lang w:val="el" w:eastAsia="el"/>
        </w:rPr>
        <w:t xml:space="preserve">31 Δεκέμβριος 2013 </w:t>
      </w:r>
    </w:p>
    <w:p>
      <w:pPr>
        <w:pStyle w:val="PreambelText"/>
        <w:spacing w:before="240" w:after="240"/>
        <w:rPr>
          <w:lang w:val="el" w:eastAsia="el"/>
        </w:rPr>
      </w:pPr>
      <w:r>
        <w:rPr>
          <w:lang w:val="el" w:eastAsia="el"/>
        </w:rPr>
        <w:t>Αθήνα, 31 Δεκεμβρίου 2013</w:t>
      </w:r>
    </w:p>
    <w:p>
      <w:pPr>
        <w:pStyle w:val="PreambelText"/>
        <w:spacing w:before="240" w:after="240"/>
        <w:rPr>
          <w:lang w:val="el" w:eastAsia="el"/>
        </w:rPr>
      </w:pPr>
      <w:r>
        <w:rPr>
          <w:lang w:val="el" w:eastAsia="el"/>
        </w:rPr>
        <w:t>Αρ. Πρωτ.: ΔΠΕΙΣ 1198598 ΕΞ 31.12.2013</w:t>
      </w:r>
    </w:p>
    <w:p>
      <w:pPr>
        <w:pStyle w:val="PreambelText"/>
        <w:spacing w:before="240" w:after="240"/>
        <w:rPr>
          <w:lang w:val="el" w:eastAsia="el"/>
        </w:rPr>
      </w:pPr>
      <w:r>
        <w:rPr>
          <w:lang w:val="el" w:eastAsia="el"/>
        </w:rPr>
        <w:t>(ΦΕΚ Β' 19/10-01-2014)</w:t>
      </w:r>
    </w:p>
    <w:p>
      <w:pPr>
        <w:pStyle w:val="PreambelText"/>
        <w:spacing w:before="240" w:after="240"/>
        <w:rPr>
          <w:lang w:val="el" w:eastAsia="el"/>
        </w:rPr>
      </w:pPr>
      <w:r>
        <w:rPr>
          <w:b/>
          <w:bCs/>
          <w:i/>
          <w:iCs/>
          <w:lang w:val="el" w:eastAsia="el"/>
        </w:rPr>
        <w:t>ΔΙΟΡΘΩΣΕΙΣ ΣΦΑΛΜΑΤΩΝ (ΦΕΚ Β' 113/24-01-2014)</w:t>
      </w:r>
    </w:p>
    <w:p>
      <w:pPr>
        <w:pStyle w:val="PreambelText"/>
        <w:spacing w:before="240" w:after="240"/>
        <w:rPr>
          <w:lang w:val="el" w:eastAsia="el"/>
        </w:rPr>
      </w:pPr>
      <w:r>
        <w:rPr>
          <w:i/>
          <w:iCs/>
          <w:lang w:val="el" w:eastAsia="el"/>
        </w:rPr>
        <w:t>Στην αρ. πρωτ. ΔΠΕΙΣΑ 1198598ΕΞ2013/31.12.2013 απόφαση του Υπουργού Οικονομικών που δημοσιεύθηκε στο ΦΕΚ 19/10.1.2014 (τεύχος Β΄) στη σελίδα 137, στην Α΄ στήλη, στον 18ο στίχο, με μέτρηση από κάτω, διορθώνεται το εσφαλμένο: “«...(Α΄/170), «Φορολογικές διαδικασίες και άλλες διατάξεις»”, στο ορθό: “... (Α΄/170), «Φορολογικές διαδικασίες και άλλες διατάξεις», όπως ισχύει”.</w:t>
      </w:r>
    </w:p>
    <w:p>
      <w:pPr>
        <w:pStyle w:val="PreambelText"/>
        <w:spacing w:before="240" w:after="240"/>
        <w:rPr>
          <w:lang w:val="el" w:eastAsia="el"/>
        </w:rPr>
      </w:pPr>
      <w:r>
        <w:rPr>
          <w:i/>
          <w:iCs/>
          <w:lang w:val="el" w:eastAsia="el"/>
        </w:rPr>
        <w:t>(Από το Υπουργείο Οικονομικών)</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Ι. ΓΕΝΙΚΗ ΔΙΕΥΘΥΝΣΗ ΦΟΡΟΛΟΓΙΑΣ</w:t>
      </w:r>
    </w:p>
    <w:p>
      <w:pPr>
        <w:pStyle w:val="PreambelText"/>
        <w:spacing w:before="240" w:after="240"/>
        <w:rPr>
          <w:lang w:val="el" w:eastAsia="el"/>
        </w:rPr>
      </w:pPr>
      <w:r>
        <w:rPr>
          <w:lang w:val="el" w:eastAsia="el"/>
        </w:rPr>
        <w:t xml:space="preserve">1. ΔΙΕΥΘΥΝΣΗ ΦΟΡΟΛΟΓΙΑΣ ΕΙΣΟΔΗΜΑΤΟΣ - </w:t>
      </w:r>
    </w:p>
    <w:p>
      <w:pPr>
        <w:pStyle w:val="PreambelText"/>
        <w:spacing w:before="240" w:after="240"/>
        <w:rPr>
          <w:lang w:val="el" w:eastAsia="el"/>
        </w:rPr>
      </w:pPr>
      <w:r>
        <w:rPr>
          <w:lang w:val="el" w:eastAsia="el"/>
        </w:rPr>
        <w:t>ΤΜΗΜΑΤΑ Α΄&amp; Β΄</w:t>
      </w:r>
    </w:p>
    <w:p>
      <w:pPr>
        <w:pStyle w:val="PreambelText"/>
        <w:spacing w:before="240" w:after="240"/>
        <w:rPr>
          <w:lang w:val="el" w:eastAsia="el"/>
        </w:rPr>
      </w:pPr>
      <w:r>
        <w:rPr>
          <w:lang w:val="el" w:eastAsia="el"/>
        </w:rPr>
        <w:t xml:space="preserve">2. ΔΙΕΥΘΥΝΣΗ Φ.Π.Α. (Δ14)- ΤΜΗΜΑ Α΄ </w:t>
      </w:r>
    </w:p>
    <w:p>
      <w:pPr>
        <w:pStyle w:val="PreambelText"/>
        <w:spacing w:before="240" w:after="240"/>
        <w:rPr>
          <w:lang w:val="el" w:eastAsia="el"/>
        </w:rPr>
      </w:pPr>
      <w:r>
        <w:rPr>
          <w:lang w:val="el" w:eastAsia="el"/>
        </w:rPr>
        <w:t>3. ΔΙΕΥΘΥΝΣΗ ΦΟΡΟΛΟΓΙΑΣ ΚΕΦΑΛΑΙΟΥ - ΤΜΗΜΑΤΑ: Α΄, Β΄</w:t>
      </w:r>
    </w:p>
    <w:p>
      <w:pPr>
        <w:pStyle w:val="PreambelText"/>
        <w:spacing w:before="240" w:after="240"/>
        <w:rPr>
          <w:lang w:val="el" w:eastAsia="el"/>
        </w:rPr>
      </w:pPr>
      <w:r>
        <w:rPr>
          <w:lang w:val="el" w:eastAsia="el"/>
        </w:rPr>
        <w:t>4. ΔΙΕΥΘΥΝΣΗ ΒΙΒΛΙΩΝ &amp; ΣΤΟΙΧΕΙΩΝ</w:t>
      </w:r>
    </w:p>
    <w:p>
      <w:pPr>
        <w:pStyle w:val="PreambelText"/>
        <w:spacing w:before="240" w:after="240"/>
        <w:rPr>
          <w:lang w:val="el" w:eastAsia="el"/>
        </w:rPr>
      </w:pPr>
      <w:r>
        <w:rPr>
          <w:lang w:val="el" w:eastAsia="el"/>
        </w:rPr>
        <w:t>5. ΔΙΕΥΘΥΝΣΗ ΤΕΛΩΝ ΚΑΙ ΕΙΔΙΚΩΝ ΦΟΡΟΛΟΓΙΩΝ – ΤΜΗΜΑΤΑ: Α΄, Β΄</w:t>
      </w:r>
    </w:p>
    <w:p>
      <w:pPr>
        <w:pStyle w:val="PreambelText"/>
        <w:spacing w:before="240" w:after="240"/>
        <w:rPr>
          <w:lang w:val="el" w:eastAsia="el"/>
        </w:rPr>
      </w:pPr>
      <w:r>
        <w:rPr>
          <w:lang w:val="el" w:eastAsia="el"/>
        </w:rPr>
        <w:t>ΙΙ. ΓΕΝΙΚΗ ΔΙΕΥΘΥΝΣΗ ΦΟΡΟΛΟΓΙΚΩΝ ΕΛΕΓΧΩΝ</w:t>
      </w:r>
    </w:p>
    <w:p>
      <w:pPr>
        <w:pStyle w:val="PreambelText"/>
        <w:spacing w:before="240" w:after="240"/>
        <w:rPr>
          <w:lang w:val="el" w:eastAsia="el"/>
        </w:rPr>
      </w:pPr>
      <w:r>
        <w:rPr>
          <w:lang w:val="el" w:eastAsia="el"/>
        </w:rPr>
        <w:t>ΚΑΙ ΕΙΣΠΡΑΞΗΣ ΔΗΜΟΣΙΩΝ ΕΣΟΔΩΝ</w:t>
      </w:r>
    </w:p>
    <w:p>
      <w:pPr>
        <w:pStyle w:val="PreambelText"/>
        <w:spacing w:before="240" w:after="240"/>
        <w:rPr>
          <w:lang w:val="el" w:eastAsia="el"/>
        </w:rPr>
      </w:pPr>
      <w:r>
        <w:rPr>
          <w:lang w:val="el" w:eastAsia="el"/>
        </w:rPr>
        <w:t>ΔΙΕΥΘΥΝΣΗ ΠΟΛΙΤΙΚΗΣ ΕΙΣΠΡΑΞΕΩΝ - ΤΜΗΜΑ Α΄</w:t>
      </w:r>
    </w:p>
    <w:p>
      <w:pPr>
        <w:pStyle w:val="PreambelText"/>
        <w:spacing w:before="240" w:after="240"/>
        <w:rPr>
          <w:lang w:val="el" w:eastAsia="el"/>
        </w:rPr>
      </w:pPr>
      <w:r>
        <w:rPr>
          <w:lang w:val="el" w:eastAsia="el"/>
        </w:rPr>
        <w:t>Ταχ. Δ/νση : Καρ. Σερβίας 10</w:t>
      </w:r>
    </w:p>
    <w:p>
      <w:pPr>
        <w:pStyle w:val="PreambelText"/>
        <w:spacing w:before="240" w:after="240"/>
        <w:rPr>
          <w:lang w:val="el" w:eastAsia="el"/>
        </w:rPr>
      </w:pPr>
      <w:r>
        <w:rPr>
          <w:lang w:val="el" w:eastAsia="el"/>
        </w:rPr>
        <w:t>Ταχ. Κώδικας : 101 84 Αθήνα</w:t>
      </w:r>
    </w:p>
    <w:p>
      <w:pPr>
        <w:pStyle w:val="PreambelText"/>
        <w:spacing w:before="240" w:after="240"/>
        <w:rPr>
          <w:lang w:val="el" w:eastAsia="el"/>
        </w:rPr>
      </w:pPr>
      <w:r>
        <w:rPr>
          <w:lang w:val="el" w:eastAsia="el"/>
        </w:rPr>
        <w:t>Τηλέφωνο : 210 33 75 000</w:t>
      </w:r>
    </w:p>
    <w:p>
      <w:pPr>
        <w:pStyle w:val="PreambelText"/>
        <w:spacing w:before="240" w:after="240"/>
        <w:rPr>
          <w:lang w:val="el" w:eastAsia="el"/>
        </w:rPr>
      </w:pPr>
      <w:r>
        <w:rPr>
          <w:lang w:val="el" w:eastAsia="el"/>
        </w:rPr>
        <w:t>FAX : 210 36 35 077</w:t>
      </w:r>
    </w:p>
    <w:p>
      <w:pPr>
        <w:pStyle w:val="PreambelText"/>
        <w:spacing w:before="240" w:after="240"/>
        <w:rPr>
          <w:lang w:val="el" w:eastAsia="el"/>
        </w:rPr>
      </w:pPr>
      <w:r>
        <w:rPr>
          <w:b/>
          <w:bCs/>
          <w:lang w:val="el" w:eastAsia="el"/>
        </w:rPr>
        <w:t>Θέμα: «Καθορισμός των επιτοκίων του άρθρου 53 του ν.</w:t>
      </w:r>
      <w:r>
        <w:rPr>
          <w:lang w:val="el" w:eastAsia="el"/>
        </w:rPr>
        <w:t>4174/2013</w:t>
      </w:r>
      <w:r>
        <w:rPr>
          <w:b/>
          <w:bCs/>
          <w:lang w:val="el" w:eastAsia="el"/>
        </w:rPr>
        <w:t>»</w:t>
      </w:r>
    </w:p>
    <w:p>
      <w:pPr>
        <w:pStyle w:val="PreambelText"/>
        <w:spacing w:before="240" w:after="240"/>
        <w:rPr>
          <w:lang w:val="el" w:eastAsia="el"/>
        </w:rPr>
      </w:pPr>
      <w:r>
        <w:rPr>
          <w:lang w:val="el" w:eastAsia="el"/>
        </w:rPr>
        <w:t>ΑΠΟΦΑΣΗ</w:t>
      </w:r>
    </w:p>
    <w:p>
      <w:pPr>
        <w:pStyle w:val="PreambelText"/>
        <w:spacing w:before="240" w:after="240"/>
        <w:rPr>
          <w:lang w:val="el" w:eastAsia="el"/>
        </w:rPr>
      </w:pPr>
      <w:r>
        <w:rPr>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53, παρ. 4, του ν. 4174/2013 (Α΄170), «Φορολογικές διαδικασίες και άλλες διατάξεις», όπως ισχύει.</w:t>
      </w:r>
    </w:p>
    <w:p>
      <w:pPr>
        <w:pStyle w:val="PreambelText"/>
        <w:spacing w:before="240" w:after="240"/>
        <w:rPr>
          <w:lang w:val="el" w:eastAsia="el"/>
        </w:rPr>
      </w:pPr>
      <w:r>
        <w:rPr>
          <w:lang w:val="el" w:eastAsia="el"/>
        </w:rPr>
        <w:t>2. Τις διατάξεις του άρθρου 7, παρ. 12, του ν. 4224/2013 (Α΄288), «Κυβερνητικό Συμβούλιο Διαχείρισης Ιδιωτικού Χρέους, Ελληνικό Επενδυτικό Ταμείο, Αξιοποίηση Ιδιωτικής Περιουσίας του Δημοσίου και άλλες κατεπείγουσες διατάξεις».</w:t>
      </w:r>
    </w:p>
    <w:p>
      <w:pPr>
        <w:pStyle w:val="PreambelText"/>
        <w:spacing w:before="240" w:after="240"/>
        <w:rPr>
          <w:lang w:val="el" w:eastAsia="el"/>
        </w:rPr>
      </w:pPr>
      <w:r>
        <w:rPr>
          <w:lang w:val="el" w:eastAsia="el"/>
        </w:rPr>
        <w:t>3. Τις διατάξεις του άρθρου 90 του Π.Δ. 63/2005 «Κωδικοποίηση της νομοθεσίας για την Κυβέρνηση και τα Κυβερνητικά όργανα» (Α΄98).</w:t>
      </w:r>
    </w:p>
    <w:p>
      <w:pPr>
        <w:pStyle w:val="PreambelText"/>
        <w:spacing w:before="240" w:after="240"/>
        <w:rPr>
          <w:lang w:val="el" w:eastAsia="el"/>
        </w:rPr>
      </w:pPr>
      <w:r>
        <w:rPr>
          <w:lang w:val="el" w:eastAsia="el"/>
        </w:rPr>
        <w:t>4. Το γεγονός ότι με την παρούσα δεν προκαλείται δαπάνη σε βάρος του τακτικού προϋπολογισμού.</w:t>
      </w:r>
    </w:p>
    <w:p>
      <w:pPr>
        <w:pStyle w:val="PreambelText"/>
        <w:spacing w:before="240" w:after="240"/>
        <w:rPr>
          <w:lang w:val="el" w:eastAsia="el"/>
        </w:rPr>
      </w:pPr>
      <w:r>
        <w:rPr>
          <w:b/>
          <w:bCs/>
          <w:i/>
          <w:iCs/>
          <w:lang w:val="el" w:eastAsia="el"/>
        </w:rPr>
        <w:t xml:space="preserve">Α Π Ο Φ Α Σ Ι Ζ Ο Υ Μ Ε </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 xml:space="preserve">Το ύψος του επιτοκίου υπολογισμού των τόκων που καταβάλλει ο φορολογούμενος κατά τις διατάξεις της παραγράφου 1 του άρθρου 53 του ν. 4174/2013 (Α΄170) ορίζεται ως το επιτόκιο των πράξεων Κύριας Αναχρηματοδότησης της Ευρωπαϊκής Κεντρικής Τράπεζας (MRO) που ισχύει κατά την ημερομηνία καταβολής του φόρου, πλέον οκτώ και πενήντα μίας (8,51) εκατοστιαίες μονάδες, ετησίως. </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 xml:space="preserve">Το ύψος του επιτοκίου υπολογισμού των τόκων της παραγράφου 2 του άρθρου 53 του ν. 4174/2013 (Α΄170) που καταβάλλονται στον φορολογούμενο ορίζεται ως το επιτόκιο πράξεων Κύριας Αναχρηματοδότησης της Ευρωπαϊκής Κεντρικής Τράπεζας (MRO) που ισχύει κατά την ημερομηνία ειδοποίησης του φορολογούμενου για την επιστροφή του φόρου, πλέον πέντε και εβδομήντα πέντε (5,75) εκατοστιαίες μονάδες, ετησίως. </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lang w:val="el" w:eastAsia="el"/>
        </w:rPr>
        <w:t>Το επιτόκιο των άρθρων 1 και 2 της παρούσας δεν μεταβάλλεται κατά το μέρος που αφορά το επιτόκιο των πράξεων Κύριας Αναχρηματοδότησης της Ευρωπαϊκής Κεντρικής Τράπεζας (MRO) πριν την εκάστοτε σωρευτική μεταβολή αυτού κατά δύο (2) εκατοστιαίες μονάδες λαμβανομένου ως βάσης υπολογισμού του επιτοκίου που ισχύει κατά την ημερομηνία έναρξης ισχύος της παρούσας, σύμφωνα με την παρ. 1 του άρθρου 4.</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rStyle w:val="article-num"/>
          <w:b/>
          <w:bCs/>
          <w:lang w:val="el" w:eastAsia="el"/>
        </w:rPr>
        <w:t>Άρθρο 4</w:t>
      </w:r>
    </w:p>
    <w:p>
      <w:pPr>
        <w:pStyle w:val="MainText"/>
        <w:spacing w:before="120" w:after="0"/>
        <w:rPr>
          <w:lang w:val="el" w:eastAsia="el"/>
        </w:rPr>
      </w:pPr>
      <w:r>
        <w:rPr>
          <w:b/>
          <w:bCs/>
          <w:lang w:val="el" w:eastAsia="el"/>
        </w:rPr>
        <w:t>1.</w:t>
      </w:r>
      <w:r>
        <w:rPr>
          <w:lang w:val="el" w:eastAsia="el"/>
        </w:rPr>
        <w:t xml:space="preserve"> Η παρούσα απόφαση τίθεται σε ισχύ από 1.1.2014.</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Ο Προϊστάμενος της Γραμματείας</w:t>
      </w:r>
    </w:p>
    <w:p>
      <w:pPr>
        <w:spacing w:before="240" w:after="240"/>
        <w:rPr>
          <w:lang w:val="el" w:eastAsia="el"/>
        </w:rPr>
      </w:pPr>
      <w:r>
        <w:rPr>
          <w:lang w:val="el" w:eastAsia="el"/>
        </w:rPr>
        <w:t>Ο ΥΠΟΥΡΓΟΣ ΟΙΚΟΝΟΜΙΚΩΝ</w:t>
      </w:r>
    </w:p>
    <w:p>
      <w:pPr>
        <w:spacing w:before="240" w:after="240"/>
        <w:rPr>
          <w:lang w:val="el" w:eastAsia="el"/>
        </w:rPr>
      </w:pPr>
      <w:r>
        <w:rPr>
          <w:lang w:val="el" w:eastAsia="el"/>
        </w:rPr>
        <w:t>ΙΩΑΝΝΗΣ ΣΤΟΥΡΝΑΡΑΣ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A.1153 /2022 13.09.2022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