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 ΔΠΕΙΣ 1198598ΕΞ2013</w:t>
      </w:r>
    </w:p>
    <w:p>
      <w:pPr>
        <w:pStyle w:val="enacting"/>
        <w:spacing w:before="120" w:after="0"/>
        <w:rPr>
          <w:lang w:val="el" w:eastAsia="el"/>
        </w:rPr>
      </w:pPr>
      <w:r>
        <w:rPr>
          <w:lang w:val="el" w:eastAsia="el"/>
        </w:rPr>
        <w:t xml:space="preserve">Καθορισμός των επιτοκίων του άρθρου </w:t>
      </w:r>
      <w:r>
        <w:rPr>
          <w:lang w:val="el" w:eastAsia="el"/>
        </w:rPr>
        <w:br/>
      </w:r>
      <w:r>
        <w:rPr>
          <w:lang w:val="el" w:eastAsia="el"/>
        </w:rPr>
        <w:t>53του ν.4174/2013.</w:t>
      </w:r>
      <w:r>
        <w:rPr>
          <w:lang w:val="el" w:eastAsia="el"/>
        </w:rPr>
        <w:br/>
      </w: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53, παρ. 4, του ν. 4174/2013 (Α’ 170), «Φορολογικές διαδικασίες και άλλες διατάξεις».</w:t>
      </w:r>
    </w:p>
    <w:p>
      <w:pPr>
        <w:pStyle w:val="PreambelText"/>
        <w:spacing w:before="240" w:after="240"/>
        <w:rPr>
          <w:lang w:val="el" w:eastAsia="el"/>
        </w:rPr>
      </w:pPr>
      <w:r>
        <w:rPr>
          <w:lang w:val="el" w:eastAsia="el"/>
        </w:rPr>
        <w:t>2. Τις διατάξεις του άρθρου 7, παρ. 12, του ν. 4224/2013 (Α’ 288), «Κυβερνητικό Συμβούλιο Διαχείρισης Ιδιωτικού Χρέους, Ελληνικό Επενδυτικό Ταμείο, Αξιοποίηση Ιδιωτικής Περιουσίας του Δημοσίου και άλλες κατεπείγουσες διατάξεις».</w:t>
      </w:r>
    </w:p>
    <w:p>
      <w:pPr>
        <w:pStyle w:val="PreambelText"/>
        <w:spacing w:before="240" w:after="240"/>
        <w:rPr>
          <w:lang w:val="el" w:eastAsia="el"/>
        </w:rPr>
      </w:pPr>
      <w:r>
        <w:rPr>
          <w:lang w:val="el" w:eastAsia="el"/>
        </w:rPr>
        <w:t>3. Τις διατάξεις του άρθρου 90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4. Το γεγονός ότι με την παρούσα δεν προκαλείται δαπάνη σε βάρος του τακτικού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Το ύψος του επιτοκίου υπολογισμού των τόκων που καταβάλλει ο φορολογούμενος κατά τις διατάξεις της παραγράφου 1 του άρθρου 53 του ν. 4174/2013 (Α’ 170) ορίζεται ως το επιτόκιο των πράξεων Κύριας Αναχρηματοδότησης της Ευρωπαϊκής Κεντρικής Τράπεζας (MRO) που ισχύει κατά την ημερομηνία καταβολής του</w:t>
      </w:r>
    </w:p>
    <w:p>
      <w:pPr>
        <w:spacing w:before="240" w:after="240"/>
        <w:rPr>
          <w:lang w:val="el" w:eastAsia="el"/>
        </w:rPr>
      </w:pPr>
      <w:r>
        <w:rPr>
          <w:lang w:val="el" w:eastAsia="el"/>
        </w:rPr>
        <w:t>φόρου, πλέον οκτώ και πενήντα μίας (8,51) εκατοστιαίες μονάδες, ετησίως.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Το ύψος του επιτοκίου υπολογισμού των τόκων της παραγράφου 2 του άρθρου 53 του ν. 4174/2013 (Α’ 170) που καταβάλλονται στον φορολογούμενο ορίζεται ως το επιτόκιο πράξεων Κύριας Αναχρηματοδότησης της Ευρωπαϊκής Κεντρικής Τράπεζας (MRO) που ισχύει κατά την ημερομηνία ειδοποίησης του φορολογούμενου για την επιστροφή του φόρου, πλέον πέντε και εβδομήντα πέντε (5,75) εκατοστιαίες μονάδες, ετησίως.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Το επιτόκιο των ανωτέρω παραγράφων δεν μεταβάλλεται κατά το μέρος που αφορά το επιτόκιο των πράξεων Κύριας Αναχρηματοδότησης της Ευρωπαϊκής Κεντρικής Τράπεζας (MRO) πριν την εκάστοτε σωρευτική μεταβολή αυτού κατά μία (1) εκατοστιαία μονάδα λαμβανομένου ως βάση υπολογισμού του επιτοκίου που ισχύει κατά την έναρξη ισχύος της παρούσας.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Η παρούσα απόφαση τίθεται σε ισχύ από 1.1.2014.</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ΥΠΟΥΡΓΟΣ</w:t>
      </w:r>
    </w:p>
    <w:p>
      <w:pPr>
        <w:spacing w:before="240" w:after="240"/>
        <w:rPr>
          <w:lang w:val="el" w:eastAsia="el"/>
        </w:rPr>
      </w:pPr>
      <w:r>
        <w:rPr>
          <w:b/>
          <w:bCs/>
          <w:lang w:val="el" w:eastAsia="el"/>
        </w:rPr>
        <w:t>ΙΩΑΝΝΗΣ ΣΤΟΥΡΝΑΡΑΣ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