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ΓΕΝΙΚΗ ΔΙΕΥΘΥΝΣΗ ΦΟΡΟΛΟΓΙΑΣ 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Πληροφορίες: Γ. Βαρνάκου Τηλέφωνο :210-3375314 FAX :210-3375001</w:t>
      </w:r>
    </w:p>
    <w:p>
      <w:pPr>
        <w:spacing w:before="240" w:after="240"/>
        <w:rPr>
          <w:lang w:val="el" w:eastAsia="el"/>
        </w:rPr>
      </w:pPr>
      <w:r>
        <w:rPr>
          <w:lang w:val="el" w:eastAsia="el"/>
        </w:rPr>
        <w:t xml:space="preserve">2. </w:t>
      </w:r>
      <w:r>
        <w:rPr>
          <w:b/>
          <w:bCs/>
          <w:lang w:val="el" w:eastAsia="el"/>
        </w:rPr>
        <w:t>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Πληροφορίες: Α. Λιαπάκη</w:t>
      </w:r>
    </w:p>
    <w:p>
      <w:pPr>
        <w:spacing w:before="240" w:after="240"/>
        <w:rPr>
          <w:lang w:val="el" w:eastAsia="el"/>
        </w:rPr>
      </w:pPr>
      <w:r>
        <w:rPr>
          <w:b/>
          <w:bCs/>
          <w:lang w:val="el" w:eastAsia="el"/>
        </w:rPr>
        <w:t>Τηλέφωνο :210-4803465</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ΘΕΜΑ: Χρόνος και τρόπος απόδοσης του προκαταβλητέου φόρου που υπολογίζεται επί των δικηγορικών αμοιβών καθώς και της παρακράτησης φόρου επί των μερισμάτων που καταβάλλονται από τους οικείους δικηγορικούς συλλόγους, κατ΄ εφαρμογή των διατάξεων των περιπτώσεων α και γ της παραγράφου 5 και της παραγράφου 6 του άρθρου 69 του ν.4172/2013(ΦΕΚ 167 Α΄).</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185/2009(ΦΕΚ 213 Α΄)περί ανασύστασης του Υπουργείου Οικονομικών.</w:t>
      </w:r>
    </w:p>
    <w:p>
      <w:pPr>
        <w:spacing w:before="240" w:after="240"/>
        <w:rPr>
          <w:lang w:val="el" w:eastAsia="el"/>
        </w:rPr>
      </w:pPr>
      <w:r>
        <w:rPr>
          <w:lang w:val="el" w:eastAsia="el"/>
        </w:rPr>
        <w:t>2. Τις διατάξεις της περίπτωσης 170 του άρθρου 2 της με αριθμό Δ6Α 1196756 ΕΞ 2013(ΦΕΚ 3317 Β΄) απόφασης του Υπουργού Οικονομικών και του Υφυπουργού Οικονομικών με την οποία μεταβιβάζονται αρμοδιότητες στον Γενικό Γραμματέα Δημοσίων Εσόδων του Υπουργείου Οικονομικών.</w:t>
      </w:r>
    </w:p>
    <w:p>
      <w:pPr>
        <w:spacing w:before="240" w:after="240"/>
        <w:rPr>
          <w:lang w:val="el" w:eastAsia="el"/>
        </w:rPr>
      </w:pPr>
      <w:r>
        <w:rPr>
          <w:lang w:val="el" w:eastAsia="el"/>
        </w:rPr>
        <w:t>3. Τις διατάξεις της παραγράφου 2 του άρθρου 18 του ν.4174/2013(ΦΕΚ 170 Α΄)σε συνδυασμό με τις διατάξεις του άρθρου 31 και των παραγράφων 1 και 2 του άρθρου 41του ίδιου νόμου.</w:t>
      </w:r>
    </w:p>
    <w:p>
      <w:pPr>
        <w:spacing w:before="240" w:after="240"/>
        <w:rPr>
          <w:lang w:val="el" w:eastAsia="el"/>
        </w:rPr>
      </w:pPr>
      <w:r>
        <w:rPr>
          <w:lang w:val="el" w:eastAsia="el"/>
        </w:rPr>
        <w:t>4. Τις διατάξεις των περιπτώσεων α και γ της παραγράφου 5 του άρθρου 69 του ν.4172/2013(ΦΕΚ 167 Α΄) περί προκαταβολής φόρου υπολογιζόμενης επί των ακαθαρίστων αμοιβών των δικηγόρων που αναγράφονται επί των γραμματίων προκαταβολής ως ποσά αναφοράς καθώς και περί παρακράτησης φόρου επί των μερισμάτων που καταβάλλονται από τους οικείους δικηγορικούς συλλόγους.</w:t>
      </w:r>
    </w:p>
    <w:p>
      <w:pPr>
        <w:spacing w:before="240" w:after="240"/>
        <w:rPr>
          <w:lang w:val="el" w:eastAsia="el"/>
        </w:rPr>
      </w:pPr>
      <w:r>
        <w:rPr>
          <w:lang w:val="el" w:eastAsia="el"/>
        </w:rPr>
        <w:t>5. Την ανάγκη έγκαιρης ενημέρωσης των υπόχρεων για την παρακράτηση και τον τρόπο και χρόνο απόδοσης του προκαταβλητέου φόρου και της παρακράτησης της προηγουμένης παραγράφου.</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u w:val="single"/>
          <w:lang w:val="el" w:eastAsia="el"/>
        </w:rPr>
        <w:t>Υποβολή της δήλωσης και τρόπος απόδοσης του προκαταβλητέου φόρουπου υπολογίζεται επί των δικηγορικών αμοιβών καθώς και της παρακράτησηςφόρου επί των μερισμάτων που καταβάλλονται από τους οικείουςδικηγορικούς συλλόγους.</w:t>
      </w:r>
    </w:p>
    <w:p>
      <w:pPr>
        <w:pStyle w:val="MainText"/>
        <w:spacing w:before="120" w:after="0"/>
        <w:rPr>
          <w:lang w:val="el" w:eastAsia="el"/>
        </w:rPr>
      </w:pPr>
      <w:r>
        <w:rPr>
          <w:b/>
          <w:bCs/>
          <w:lang w:val="el" w:eastAsia="el"/>
        </w:rPr>
        <w:t>1.</w:t>
      </w:r>
      <w:r>
        <w:rPr>
          <w:lang w:val="el" w:eastAsia="el"/>
        </w:rPr>
        <w:t xml:space="preserve"> Ο προκαταβλητέος φόρος που υπολογίζεται επί των ακαθαρίστων αμοιβών των δικηγόρων, που αναγράφονται επί των γραμματίων προκαταβολής ως ποσά αναφοράς καθώς και ο παρακρατούμενος επί των ποσών που καταβάλλονται ως μέρισμα από τους δικηγορικούς συλλόγους αποδίδονται με προσωρινές δηλώσεις(συνημμένο υπόδειγμα προσωρινής δήλωσης), με ευθύνη των προέδρων τους ως εξής:</w:t>
      </w:r>
    </w:p>
    <w:p>
      <w:pPr>
        <w:spacing w:before="240" w:after="240"/>
        <w:rPr>
          <w:lang w:val="el" w:eastAsia="el"/>
        </w:rPr>
      </w:pPr>
      <w:r>
        <w:rPr>
          <w:b/>
          <w:bCs/>
          <w:lang w:val="el" w:eastAsia="el"/>
        </w:rPr>
        <w:t xml:space="preserve">Οι εμπρόθεσμες και εκπρόθεσμες αρχικές και τροποποιητικές προσωρινές δηλώσεις </w:t>
      </w:r>
      <w:r>
        <w:rPr>
          <w:lang w:val="el" w:eastAsia="el"/>
        </w:rPr>
        <w:t xml:space="preserve">απόδοσης του προκαταβλητέου και του παρακρατηθέντα φόρου φορολογικού έτους 2014 υποβάλλονται </w:t>
      </w:r>
      <w:r>
        <w:rPr>
          <w:u w:val="single"/>
          <w:lang w:val="el" w:eastAsia="el"/>
        </w:rPr>
        <w:t>με τη χρήση ηλεκτρονικής μεθόδου επικοινωνίας μέσω διαδικτύου</w:t>
      </w:r>
      <w:r>
        <w:rPr>
          <w:lang w:val="el" w:eastAsia="el"/>
        </w:rPr>
        <w:t xml:space="preserve">, στο δικτυακό τόπο </w:t>
      </w:r>
      <w:hyperlink r:id="rId4" w:history="1">
        <w:r>
          <w:rPr>
            <w:rStyle w:val="Hyperlink"/>
            <w:b/>
            <w:bCs/>
            <w:color w:val="0000EE"/>
            <w:u w:color="0000EE"/>
            <w:lang w:val="el" w:eastAsia="el"/>
          </w:rPr>
          <w:t>www.gsis.gr</w:t>
        </w:r>
      </w:hyperlink>
    </w:p>
    <w:p>
      <w:pPr>
        <w:pStyle w:val="MainText"/>
        <w:spacing w:before="120" w:after="0"/>
        <w:rPr>
          <w:lang w:val="el" w:eastAsia="el"/>
        </w:rPr>
      </w:pPr>
      <w:r>
        <w:rPr>
          <w:b/>
          <w:bCs/>
          <w:lang w:val="el" w:eastAsia="el"/>
        </w:rPr>
        <w:t>2.</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w:t>
      </w:r>
    </w:p>
    <w:p>
      <w:pPr>
        <w:pStyle w:val="MainText"/>
        <w:spacing w:before="120" w:after="0"/>
        <w:rPr>
          <w:lang w:val="el" w:eastAsia="el"/>
        </w:rPr>
      </w:pPr>
      <w:r>
        <w:rPr>
          <w:b/>
          <w:bCs/>
          <w:lang w:val="el" w:eastAsia="el"/>
        </w:rPr>
        <w:t>3.</w:t>
      </w:r>
      <w:r>
        <w:rPr>
          <w:lang w:val="el" w:eastAsia="el"/>
        </w:rPr>
        <w:t xml:space="preserve"> Η υποβολή της προσωρινής δήλωσης απόδοσης του προκαταβλητέου και του παρακρατηθέντα φόρου φορολογικού έτους 2014, πραγματοποιείται με την χρήση ηλεκτρονικής μεθόδου επικοινωνίας μέσω του ειδικού δικτύου TAXISnet από </w:t>
      </w:r>
      <w:r>
        <w:rPr>
          <w:b/>
          <w:bCs/>
          <w:lang w:val="el" w:eastAsia="el"/>
        </w:rPr>
        <w:t>20.02.2014</w:t>
      </w:r>
      <w:r>
        <w:rPr>
          <w:lang w:val="el" w:eastAsia="el"/>
        </w:rPr>
        <w:t>.</w:t>
      </w:r>
    </w:p>
    <w:p>
      <w:pPr>
        <w:pStyle w:val="MainText"/>
        <w:spacing w:before="120" w:after="0"/>
        <w:rPr>
          <w:lang w:val="el" w:eastAsia="el"/>
        </w:rPr>
      </w:pPr>
      <w:r>
        <w:rPr>
          <w:b/>
          <w:bCs/>
          <w:lang w:val="el" w:eastAsia="el"/>
        </w:rPr>
        <w:t>4.</w:t>
      </w:r>
      <w:r>
        <w:rPr>
          <w:lang w:val="el" w:eastAsia="el"/>
        </w:rPr>
        <w:t xml:space="preserve"> Σε περίπτωση αποδεδειγμένης τεχνικής αδυναμίας ολοκλήρωσης της υποβολής της δήλωσης, αυτή υποβάλλεται άμεσα στην αρμόδια Δ.Ο.Υ., με συνημμένο το εκτυπωμένο αποδεικτικό στοιχείο της μη δυνατότητας υποβολής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lang w:val="el" w:eastAsia="el"/>
        </w:rPr>
        <w:t xml:space="preserve"> Το σύστημα μετά την οριστικοποίηση της υποβολής της δήλωσης παράγει την «Ταυτότητα Οφειλής», στοιχείο απαραίτητο για την απόδοση του φόρου μέσω πιστωτικών ιδρυμάτων.</w:t>
      </w:r>
    </w:p>
    <w:p>
      <w:pPr>
        <w:pStyle w:val="MainText"/>
        <w:spacing w:before="120" w:after="0"/>
        <w:rPr>
          <w:lang w:val="el" w:eastAsia="el"/>
        </w:rPr>
      </w:pPr>
      <w:r>
        <w:rPr>
          <w:b/>
          <w:bCs/>
          <w:lang w:val="el" w:eastAsia="el"/>
        </w:rPr>
        <w:t>2.</w:t>
      </w:r>
      <w:r>
        <w:rPr>
          <w:lang w:val="el" w:eastAsia="el"/>
        </w:rPr>
        <w:t xml:space="preserve"> Σε περίπτωση εφαρμογής της παραγράφου 4 του άρθρου 1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βεβαίωσης του φόρου.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u w:val="single"/>
          <w:lang w:val="el" w:eastAsia="el"/>
        </w:rPr>
        <w:t>Προθεσμία υποβολής και απόδοσης του φόρου</w:t>
      </w:r>
    </w:p>
    <w:p>
      <w:pPr>
        <w:spacing w:before="240" w:after="240"/>
        <w:rPr>
          <w:lang w:val="el" w:eastAsia="el"/>
        </w:rPr>
      </w:pPr>
      <w:r>
        <w:rPr>
          <w:lang w:val="el" w:eastAsia="el"/>
        </w:rPr>
        <w:t xml:space="preserve">Οι δικηγορικοί σύλλογοι που υπολογίζουν προκαταβλητέο φόρο και παρακρατούν φόρο, σύμφωνα με τις διατάξεις των περιπτώσεων α και γ της παραγράφου 5 του άρθρου 69 του ν.4172/2013(ΦΕΚ 167 Α) υποχρεούνται να υποβάλλουν δήλωση με τη χρήση ηλεκτρονικής μεθόδου επικοινωνίας μέσω διαδικτύου, στο δικτυακό τόπο </w:t>
      </w:r>
      <w:hyperlink r:id="rId5" w:history="1">
        <w:r>
          <w:rPr>
            <w:rStyle w:val="Hyperlink"/>
            <w:color w:val="0000EE"/>
            <w:u w:color="0000EE"/>
            <w:lang w:val="el" w:eastAsia="el"/>
          </w:rPr>
          <w:t>www.gsis.gr</w:t>
        </w:r>
      </w:hyperlink>
      <w:r>
        <w:rPr>
          <w:lang w:val="el" w:eastAsia="el"/>
        </w:rPr>
        <w:t xml:space="preserve"> το αργότερο </w:t>
      </w:r>
      <w:r>
        <w:rPr>
          <w:u w:val="single"/>
          <w:lang w:val="el" w:eastAsia="el"/>
        </w:rPr>
        <w:t>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ηλεκτρονικά, αμέσως μετά την υποβολή των προσωρινών δηλώσεων απόδοσης του προκαταβλητέου ή παρακρατηθέντος φόρου ανά υπόχρεο, με ταυτόχρονη καταχώρηση των βασικών στοιχείων παραλαβής και πληρωμής στο σύστημα Τaxis .</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και εκτύπωσης των δηλώσεων αυτών.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για δικηγορικές αμοιβές που αναγράφονται επί των γραμματίων προκαταβολής ως ποσά αναφοράς που εκδίδονται από 1.1.2014 καθώς και για μερίσματα που καταβάλλονται από τους δικηγορικούς συλλόγους από 1.1.2014 και μετά.</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 xml:space="preserve">Ένα (1) φύλλο, ο τύπος της δήλωσης σε έντυπη μορφή. </w:t>
      </w:r>
      <w:r>
        <w:rPr>
          <w:b/>
          <w:bCs/>
          <w:u w:val="single"/>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Υφυπουργού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Επικοινωνίας και Πληροφόρησης Πολιτών</w:t>
      </w:r>
    </w:p>
    <w:p>
      <w:pPr>
        <w:spacing w:before="240" w:after="240"/>
        <w:rPr>
          <w:lang w:val="el" w:eastAsia="el"/>
        </w:rPr>
      </w:pPr>
      <w:r>
        <w:rPr>
          <w:lang w:val="el" w:eastAsia="el"/>
        </w:rPr>
        <w:t>4. Γραφείο Τύπου και Δημοσίων Σχέσεων (2 αντίγραφα)</w:t>
      </w:r>
    </w:p>
    <w:p>
      <w:pPr>
        <w:spacing w:before="240" w:after="240"/>
        <w:rPr>
          <w:lang w:val="el" w:eastAsia="el"/>
        </w:rPr>
      </w:pPr>
      <w:r>
        <w:rPr>
          <w:lang w:val="el" w:eastAsia="el"/>
        </w:rPr>
        <w:t>5.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(2 αντίγραφα)</w:t>
      </w:r>
    </w:p>
    <w:p>
      <w:pPr>
        <w:pStyle w:val="StructureList1"/>
        <w:spacing w:before="120" w:after="0"/>
        <w:rPr>
          <w:lang w:val="el" w:eastAsia="el"/>
        </w:rPr>
      </w:pPr>
      <w:r>
        <w:rPr>
          <w:lang w:val="el" w:eastAsia="el"/>
        </w:rPr>
        <w:t>δ)</w:t>
      </w:r>
      <w:r>
        <w:rPr>
          <w:lang w:val="en" w:eastAsia="en"/>
        </w:rPr>
        <w:tab/>
      </w:r>
      <w:r>
        <w:rPr>
          <w:lang w:val="el" w:eastAsia="el"/>
        </w:rPr>
        <w:t>Τμήμα Γ’ (1 αντίγραφα)</w:t>
      </w:r>
    </w:p>
    <w:p>
      <w:pPr>
        <w:spacing w:before="240" w:after="240"/>
        <w:rPr>
          <w:lang w:val="el" w:eastAsia="el"/>
        </w:rPr>
      </w:pPr>
      <w:r>
        <w:rPr>
          <w:lang w:val="el" w:eastAsia="el"/>
        </w:rPr>
        <w:t>6. Δ/νση Ηλεκτρονικής Διακυβέρνησης(10 αντίγραφα)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318"/>
        <w:gridCol w:w="2216"/>
        <w:gridCol w:w="1418"/>
        <w:gridCol w:w="946"/>
        <w:gridCol w:w="1063"/>
        <w:gridCol w:w="624"/>
        <w:gridCol w:w="72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 τον Προϊστάμενο της Δ.Ο.Υ.: 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Μήνας παρακράτησης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Είδος επιχείρησης</w:t>
            </w:r>
            <w:r>
              <w:rPr>
                <w:b/>
                <w:bCs/>
                <w:i w:val="0"/>
                <w:iCs w:val="0"/>
                <w:smallCaps w:val="0"/>
                <w:color w:val="000000"/>
                <w:lang w:val="el" w:eastAsia="el"/>
              </w:rPr>
              <w:t>Αριθμ. Φακέλου:</w:t>
            </w:r>
          </w:p>
          <w:p>
            <w:pPr>
              <w:spacing w:before="240" w:after="240"/>
              <w:rPr>
                <w:b w:val="0"/>
                <w:bCs w:val="0"/>
                <w:i w:val="0"/>
                <w:iCs w:val="0"/>
                <w:smallCaps w:val="0"/>
                <w:color w:val="000000"/>
                <w:lang w:val="el" w:eastAsia="el"/>
              </w:rPr>
            </w:pPr>
            <w:r>
              <w:rPr>
                <w:b/>
                <w:bCs/>
                <w:i w:val="0"/>
                <w:iCs w:val="0"/>
                <w:smallCaps w:val="0"/>
                <w:color w:val="000000"/>
                <w:lang w:val="el" w:eastAsia="el"/>
              </w:rPr>
              <w:t>Επιχείρηση (Ν.Π-Φ.Π) Α.Μ.Ε:</w:t>
            </w:r>
          </w:p>
          <w:p>
            <w:pPr>
              <w:spacing w:before="240" w:after="240"/>
              <w:rPr>
                <w:b w:val="0"/>
                <w:bCs w:val="0"/>
                <w:i w:val="0"/>
                <w:iCs w:val="0"/>
                <w:smallCaps w:val="0"/>
                <w:color w:val="000000"/>
                <w:lang w:val="el" w:eastAsia="el"/>
              </w:rPr>
            </w:pPr>
            <w:r>
              <w:rPr>
                <w:b/>
                <w:bCs/>
                <w:i w:val="0"/>
                <w:iCs w:val="0"/>
                <w:smallCaps w:val="0"/>
                <w:color w:val="000000"/>
                <w:lang w:val="el" w:eastAsia="el"/>
              </w:rPr>
              <w:t>Δημόσιο Τύπος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ΝΠΔΔ-Ταμεία Αριθμ. Δήλωσης:</w:t>
            </w:r>
          </w:p>
          <w:p>
            <w:pPr>
              <w:spacing w:before="240"/>
              <w:rPr>
                <w:b w:val="0"/>
                <w:bCs w:val="0"/>
                <w:i w:val="0"/>
                <w:iCs w:val="0"/>
                <w:smallCaps w:val="0"/>
                <w:color w:val="000000"/>
                <w:lang w:val="el" w:eastAsia="el"/>
              </w:rPr>
            </w:pPr>
            <w:r>
              <w:rPr>
                <w:b/>
                <w:bCs/>
                <w:i w:val="0"/>
                <w:iCs w:val="0"/>
                <w:smallCaps w:val="0"/>
                <w:color w:val="000000"/>
                <w:lang w:val="el" w:eastAsia="el"/>
              </w:rPr>
              <w:t>Αριθμ. Προηγ. Δήλωσης: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ΠΡΟΣΩΡΙΝΗ ΔΗΛΩΣΗ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Παρακράτησης Φόρου από επιχειρηματική δραστηριότητα και προκαταβλητέου φόρου δικηγορικών αμοιβών καθώς και παρακράτησης φόρου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ΥΠΟΧΡΕΟΥ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Ονοματεπωνυμο ή Επωνυμία επιχείρησης…………………………………………………………………………..…………………</w:t>
            </w:r>
          </w:p>
          <w:p>
            <w:pPr>
              <w:spacing w:before="240"/>
              <w:rPr>
                <w:b w:val="0"/>
                <w:bCs w:val="0"/>
                <w:i w:val="0"/>
                <w:iCs w:val="0"/>
                <w:smallCaps w:val="0"/>
                <w:color w:val="000000"/>
                <w:lang w:val="el" w:eastAsia="el"/>
              </w:rPr>
            </w:pPr>
            <w:r>
              <w:rPr>
                <w:b w:val="0"/>
                <w:bCs w:val="0"/>
                <w:i w:val="0"/>
                <w:iCs w:val="0"/>
                <w:smallCaps w:val="0"/>
                <w:color w:val="000000"/>
                <w:lang w:val="el" w:eastAsia="el"/>
              </w:rPr>
              <w:t>Νομική Μορφή…………………………………………………………………………………………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ΝΟΜΙΜΟΥ ΕΚΠ/ΠΟΥ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Όνομα Πατέρα:………………………………………………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ΠΑΡΑΚΡΑΤΗΣΗ ΦΟΡΟΥ ΑΠΌ ΕΠΙΧΕΙΡΗΜΑΤΙΚΗ ΔΡΑΣΤΗΡΙΟΤΗΤΑ (Αρθ.64 παρ.1 περ.δ')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Περίοδος</w:t>
            </w:r>
          </w:p>
          <w:p>
            <w:pPr>
              <w:spacing w:before="240"/>
              <w:rPr>
                <w:b w:val="0"/>
                <w:bCs w:val="0"/>
                <w:i w:val="0"/>
                <w:iCs w:val="0"/>
                <w:smallCaps w:val="0"/>
                <w:color w:val="000000"/>
                <w:lang w:val="el" w:eastAsia="el"/>
              </w:rPr>
            </w:pPr>
            <w:r>
              <w:rPr>
                <w:b w:val="0"/>
                <w:bCs w:val="0"/>
                <w:i w:val="0"/>
                <w:iCs w:val="0"/>
                <w:smallCaps w:val="0"/>
                <w:color w:val="000000"/>
                <w:lang w:val="el" w:eastAsia="el"/>
              </w:rPr>
              <w:t>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παρακράτησης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ΠΡΟΚΑΤΑΒΛΗΤΕΟΣ ΦΟΡΟΣ ΕΠΙ ΔΙΚΗΓΟΡΙΚΩΝ ΑΜΟΙΒΩΝ(Αρθ.69 παρ.5 περ.α')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Ένδειξη</w:t>
            </w:r>
          </w:p>
          <w:p>
            <w:pPr>
              <w:spacing w:before="240"/>
              <w:rPr>
                <w:b w:val="0"/>
                <w:bCs w:val="0"/>
                <w:i w:val="0"/>
                <w:iCs w:val="0"/>
                <w:smallCaps w:val="0"/>
                <w:color w:val="000000"/>
                <w:lang w:val="el" w:eastAsia="el"/>
              </w:rPr>
            </w:pPr>
            <w:r>
              <w:rPr>
                <w:b w:val="0"/>
                <w:bCs w:val="0"/>
                <w:i w:val="0"/>
                <w:iCs w:val="0"/>
                <w:smallCaps w:val="0"/>
                <w:color w:val="000000"/>
                <w:lang w:val="el" w:eastAsia="el"/>
              </w:rPr>
              <w:t>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Περίοδος</w:t>
            </w:r>
          </w:p>
          <w:p>
            <w:pPr>
              <w:spacing w:before="240"/>
              <w:rPr>
                <w:b w:val="0"/>
                <w:bCs w:val="0"/>
                <w:i w:val="0"/>
                <w:iCs w:val="0"/>
                <w:smallCaps w:val="0"/>
                <w:color w:val="000000"/>
                <w:lang w:val="el" w:eastAsia="el"/>
              </w:rPr>
            </w:pPr>
            <w:r>
              <w:rPr>
                <w:b w:val="0"/>
                <w:bCs w:val="0"/>
                <w:i w:val="0"/>
                <w:iCs w:val="0"/>
                <w:smallCaps w:val="0"/>
                <w:color w:val="000000"/>
                <w:lang w:val="el" w:eastAsia="el"/>
              </w:rPr>
              <w:t>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παρακράτησης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ΠΑΡΑΚΡΑΤΗΣΗ ΦΟΡΟΥ ΕΠΙ ΤΟΥ ΜΕΡΙΣΜΑΤΟΣ ΔΙΚΗΓΟΡΩΝ (Αρθ.69 παρ.5 περ.γ')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παρακράτησης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αμοιβές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0"/>
        <w:gridCol w:w="4134"/>
        <w:gridCol w:w="176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ΘΕΩΡΗΣΗ ΚΑΙ ΠΑΡΑΛΑΒΗ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Παραλήφθηκε: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Εμπρόθεσμα Εκπρόθεσμα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Στοιχείου Πληρωμής Α.Χ.Κ.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Δηλών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ΠΡΟΙΣΤΑΜΕΝΟΣ ΤΗΣ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