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EΞ.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ΦΟΡΟΛΟΓΙΑΣ 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Φ.Μ.Α.Π.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24-1-2014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ΠΟΛ.: 1032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Τηλέφωνα: 210 3375890, 878, 879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r>
        <w:rPr>
          <w:u w:val="single"/>
          <w:lang w:val="el" w:eastAsia="el"/>
        </w:rPr>
        <w:t>d13.etak@ yo.s 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Πίνακας Αποδεκτών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Καθορισμός οργάνου της Φορολογικής Διοίκησης ως αρμόδιου για υποθέσεις Έκτακτου ειδικού Τέλους Ηλεκτροδοτούμενων Δομημένων Επιφανειών (ΕΕΤΗΔΕ) και Έκτακτου Ειδικού Τέλους Ακινήτων (ΕΕΤΑ)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 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του άρθρου 4 του ν. 4174/2013 (ΦΕΚ 170 Α΄), με τις οποίες ο ΓΓΔΕ δύναται να μεταβιβάζει αρμοδιότητες και να αναθέτει τα καθήκοντα του ή της Φορολογικής Διοίκησης, σε όργανα της Φορολογικής Διοίκησης.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γεγονός ότι από τις διατάξεις της παρούσας δεν προκαλείται δαπάνη σε βάρος του Κρατικού Προϋπολογισμού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Καθορίζουμε ως αρμόδιο όργανο της Φορολογικής Διοίκησης για υποθέσεις ΕΕΤΗΔΕ και ΕΕΤΑ, τον προϊστάμενο της Δ.Ο.Υ. που ήταν αρμόδιος για την φορολογία εισοδήματος του υπόχρεου σε ΕΕΤΗΔΕ ή ΕΕΤΑ κατά τα έτη βεβαίωσης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ίδιος προϊστάμενος είναι αρμόδιος για τη χορήγηση των προβλεπόμενων για τα ειδικά αυτά τέλη απαλλαγών και μειώσεων.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Ο Γενικός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Προϊσταμένη της Γραμματείας </w:t>
      </w:r>
      <w:r>
        <w:rPr>
          <w:b/>
          <w:bCs/>
          <w:lang w:val="el" w:eastAsia="el"/>
        </w:rPr>
        <w:t>Θεοχάρης Θεοχάρης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Δημόσιες Οικονομικές Υπηρεσίες (Εξαιρετικά Επείγον – Αποστολή και μέσω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Ηλεκτρονικής Διακυβέρνησης για ανάρτηση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τη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3,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(περίπτωση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ΣΤ΄ (περιπτώσεις 2,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Ζ΄ (περιπτώσεις 1, 2,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Η΄ (περιπτώσεις 1 –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Θ΄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Αποδέκτες Πίνακα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Αποδέκτες Πίνακα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Αποδέκτες Πίνακα ΚΑ΄ (περιπτώσεις 1 –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Αποδέκτες Πίνακα ΚΒ΄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Αποδέκτες Πίνακα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Αναπληρωτή Γενικού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Γραφείου Γενικού Διευθυντή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Φορολογίας Κεφαλαίου – Τμήματα Α΄, Β΄ (από 3 αντίτυπα), Φ.Μ.Α.Π. (20 αντίτυπα)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