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ΠΟΛ.1033/2014</w:t>
      </w:r>
    </w:p>
    <w:p>
      <w:pPr>
        <w:pStyle w:val="Title"/>
        <w:spacing w:before="120" w:after="360"/>
        <w:rPr>
          <w:lang w:val="el" w:eastAsia="el"/>
        </w:rPr>
      </w:pPr>
      <w:r>
        <w:rPr>
          <w:lang w:val="el" w:eastAsia="el"/>
        </w:rPr>
        <w:t>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Α'/26-07-2013)</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28 Ιανουαρίου 2014</w:t>
      </w:r>
    </w:p>
    <w:p>
      <w:pPr>
        <w:pStyle w:val="PreambelText"/>
        <w:spacing w:before="240" w:after="240"/>
        <w:rPr>
          <w:lang w:val="el" w:eastAsia="el"/>
        </w:rPr>
      </w:pPr>
      <w:r>
        <w:rPr>
          <w:lang w:val="el" w:eastAsia="el"/>
        </w:rPr>
        <w:t>(ΦΕΚ Β' 276/10-02-2014)</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 ΓΕΝΙΚΗ Δ/ΝΣΗ ΦΟΡΟΛΟΓΙΑΣ</w:t>
      </w:r>
    </w:p>
    <w:p>
      <w:pPr>
        <w:pStyle w:val="PreambelText"/>
        <w:spacing w:before="240" w:after="240"/>
        <w:rPr>
          <w:lang w:val="el" w:eastAsia="el"/>
        </w:rPr>
      </w:pPr>
      <w:r>
        <w:rPr>
          <w:lang w:val="el" w:eastAsia="el"/>
        </w:rPr>
        <w:t>Δ/ΝΣΗ ΦΟΡΟΛΟΓΙΑΣ ΕΙΣΟΔΗΜΑΤΟΣ (Δ12)</w:t>
      </w:r>
    </w:p>
    <w:p>
      <w:pPr>
        <w:pStyle w:val="PreambelText"/>
        <w:spacing w:before="240" w:after="240"/>
        <w:rPr>
          <w:lang w:val="el" w:eastAsia="el"/>
        </w:rPr>
      </w:pPr>
      <w:r>
        <w:rPr>
          <w:lang w:val="el" w:eastAsia="el"/>
        </w:rPr>
        <w:t>ΤΜΗΜΑΤΑ: Α', Β', Γ'</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 Δ/ΝΣΗ ΗΛΕΚΤΡΟΝΙΚΗΣ ΔΙΑΚΥΒΕΡΝΗΣΗΣ ΔΗΛΕΔ (e – ΕΦΑΡΜΟΓΕΣ)</w:t>
      </w:r>
    </w:p>
    <w:p>
      <w:pPr>
        <w:pStyle w:val="PreambelText"/>
        <w:spacing w:before="240" w:after="240"/>
        <w:rPr>
          <w:lang w:val="el" w:eastAsia="el"/>
        </w:rPr>
      </w:pPr>
      <w:r>
        <w:rPr>
          <w:lang w:val="el" w:eastAsia="el"/>
        </w:rPr>
        <w:t>ΤΜΗΜΑΤΑ: Α΄ και ΑΥΤΟΤΕΛΕΣ ΓΡΑΦΕΙΟ</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 ΓΕΝ. Δ/ΝΣΗ ΦΟΡΟΛΟΓΙΚΩΝ ΕΛΕΓΧΩΝ ΚΑΙ ΕΙΣΠΡΑΞΗΣ ΔΗΜΟΣΙΩΝ ΕΣΟΔΩΝ</w:t>
      </w:r>
    </w:p>
    <w:p>
      <w:pPr>
        <w:pStyle w:val="PreambelText"/>
        <w:spacing w:before="240" w:after="240"/>
        <w:rPr>
          <w:lang w:val="el" w:eastAsia="el"/>
        </w:rPr>
      </w:pPr>
      <w:r>
        <w:rPr>
          <w:lang w:val="el" w:eastAsia="el"/>
        </w:rPr>
        <w:t>Δ/ΝΣΗ ΕΠΙΧΕΙΡΗΣΙΑΚΟΥ ΣΧΕΔΙΑΣΜΟΥ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Δ/νση: Κ. Σερβίας 10</w:t>
      </w:r>
    </w:p>
    <w:p>
      <w:pPr>
        <w:spacing w:before="240" w:after="240"/>
        <w:rPr>
          <w:lang w:val="el" w:eastAsia="el"/>
        </w:rPr>
      </w:pPr>
      <w:r>
        <w:rPr>
          <w:lang w:val="el" w:eastAsia="el"/>
        </w:rPr>
        <w:t>Τ.Κ.. 10184, Αθήνα</w:t>
      </w:r>
    </w:p>
    <w:p>
      <w:pPr>
        <w:spacing w:before="240" w:after="240"/>
        <w:rPr>
          <w:lang w:val="el" w:eastAsia="el"/>
        </w:rPr>
      </w:pPr>
      <w:r>
        <w:rPr>
          <w:lang w:val="el" w:eastAsia="el"/>
        </w:rPr>
        <w:t>Τηλέφωνο: 221202-1408 0 2552</w:t>
      </w:r>
    </w:p>
    <w:p>
      <w:pPr>
        <w:spacing w:before="240" w:after="240"/>
        <w:rPr>
          <w:lang w:val="el" w:eastAsia="el"/>
        </w:rPr>
      </w:pPr>
      <w:r>
        <w:rPr>
          <w:lang w:val="el" w:eastAsia="el"/>
        </w:rPr>
        <w:t>210-3375149</w:t>
      </w:r>
    </w:p>
    <w:p>
      <w:pPr>
        <w:spacing w:before="240" w:after="240"/>
        <w:rPr>
          <w:lang w:val="el" w:eastAsia="el"/>
        </w:rPr>
      </w:pPr>
      <w:r>
        <w:rPr>
          <w:lang w:val="el" w:eastAsia="el"/>
        </w:rPr>
        <w:t>Fax: 210-3375001</w:t>
      </w:r>
    </w:p>
    <w:p>
      <w:pPr>
        <w:spacing w:before="240" w:after="240"/>
        <w:rPr>
          <w:lang w:val="el" w:eastAsia="el"/>
        </w:rPr>
      </w:pPr>
      <w:r>
        <w:rPr>
          <w:b/>
          <w:bCs/>
          <w:lang w:val="el" w:eastAsia="el"/>
        </w:rPr>
        <w:t>ΠΟΛ 1033/2014</w:t>
      </w:r>
    </w:p>
    <w:p>
      <w:pPr>
        <w:spacing w:before="240" w:after="240"/>
        <w:rPr>
          <w:lang w:val="el" w:eastAsia="el"/>
        </w:rPr>
      </w:pPr>
      <w:r>
        <w:rPr>
          <w:b/>
          <w:bCs/>
          <w:lang w:val="el" w:eastAsia="el"/>
        </w:rPr>
        <w:t> </w:t>
      </w:r>
    </w:p>
    <w:p>
      <w:pPr>
        <w:spacing w:before="240" w:after="240"/>
        <w:rPr>
          <w:lang w:val="el" w:eastAsia="el"/>
        </w:rPr>
      </w:pPr>
      <w:r>
        <w:rPr>
          <w:b/>
          <w:bCs/>
          <w:lang w:val="el" w:eastAsia="el"/>
        </w:rPr>
        <w:t>ΘΕΜΑ: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 26-07-2013)».</w:t>
      </w:r>
    </w:p>
    <w:p>
      <w:pPr>
        <w:spacing w:before="240" w:after="240"/>
        <w:rPr>
          <w:lang w:val="el" w:eastAsia="el"/>
        </w:rPr>
      </w:pPr>
      <w:r>
        <w:rPr>
          <w:b/>
          <w:bCs/>
          <w:lang w:val="el" w:eastAsia="el"/>
        </w:rPr>
        <w:t>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 </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της παραγρ. 4 του άρθρου 15 του ν. 4174/2013 (ΦΕΚ 170 Α'/26-7-2013), περί παροχής πληροφοριών από τρίτους.</w:t>
      </w:r>
    </w:p>
    <w:p>
      <w:pPr>
        <w:spacing w:before="240" w:after="240"/>
        <w:rPr>
          <w:lang w:val="el" w:eastAsia="el"/>
        </w:rPr>
      </w:pPr>
      <w:r>
        <w:rPr>
          <w:b/>
          <w:bCs/>
          <w:lang w:val="el" w:eastAsia="el"/>
        </w:rPr>
        <w:t>2. Τις διατάξεις της υποπαραγράφου Ε2 της παραγράφου Ε' του άρθρου πρώτου του ν. 4093/2012 περί σύστασης θέσης Γενικού Γραμματέα Εσόδων (ΦΕΚ 222 Α'- 12/11/2012), όπως ισχύει.</w:t>
      </w:r>
    </w:p>
    <w:p>
      <w:pPr>
        <w:spacing w:before="240" w:after="240"/>
        <w:rPr>
          <w:lang w:val="el" w:eastAsia="el"/>
        </w:rPr>
      </w:pPr>
      <w:r>
        <w:rPr>
          <w:b/>
          <w:bCs/>
          <w:lang w:val="el" w:eastAsia="el"/>
        </w:rPr>
        <w:t>3. Την αριθμ.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b/>
          <w:bCs/>
          <w:lang w:val="el" w:eastAsia="el"/>
        </w:rPr>
        <w:t>4. Την ανάγκη καθορισμού ειδικότερων θεμάτων σχετικά με την εφαρμογή του άρθρου 15 του Ν. 4174/2013 (ΦΕΚ 170 Α').</w:t>
      </w:r>
    </w:p>
    <w:p>
      <w:pPr>
        <w:spacing w:before="240" w:after="240"/>
        <w:rPr>
          <w:lang w:val="el" w:eastAsia="el"/>
        </w:rPr>
      </w:pPr>
      <w:r>
        <w:rPr>
          <w:b/>
          <w:bCs/>
          <w:lang w:val="el" w:eastAsia="el"/>
        </w:rPr>
        <w:t>5.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Για το είδος των υποβαλλόμενων στοιχείων και πληροφοριών που προβλέπονται από τις διατάξεις του άρθρου 15 του ν. 4174/2013 (ΦΕΚ 170 Α'/26-7-2013), σχετικά με τον τρόπο και χρόνο υποβολής και κάθε άλλο σχετικό θέμα, ορίζουμε τα ακόλουθα:</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Πληροφορίες από πιστωτικά και χρηματοδοτικά ιδρύματα, φορείς εκκαθάρισης συναλλαγών με τη χρήση καρτών πληρωμών, ιδρύματα πληρωμών, Ελληνικά Ταχυδρομεία, Ελληνικό Κεντρικό Αποθετήριο Τίτλων (ΕΛ.Κ.Α.Τ.) Α.Ε. (ATHEXCSD) και Εταιρίες Παροχής Επενδυτικών Υπηρεσιών</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1.1</w:t>
      </w:r>
      <w:r>
        <w:rPr>
          <w:b/>
          <w:bCs/>
          <w:lang w:val="el" w:eastAsia="el"/>
        </w:rPr>
        <w:t xml:space="preserve"> Τα πιστωτικά ιδρύματα, συμπεριλαμβανομένων και των υποκαταστημάτων αλλοδαπών πιστωτικών ιδρυμάτων, τα χρηματοδοτικά ιδρύματα, οι φορείς εκκαθάρισης συναλλαγών με χρήση καρτών πληρωμών και τα ιδρύματα πληρωμών που λειτουργούν στην Ελλάδα, τα Ελληνικά Ταχυδρομεία (ΕΛΤΑ), το Ελληνικό Κεντρικό Αποθετήριο Τίτλων (ΕΛ.Κ.Α.Τ.) Α.Ε. ATHEXCSD) καθώς και οι Εταιρίες Παροχής Επενδυτικών Υπηρεσιών, υποχρεούνται να διαβιβάζουν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που αφορούν:</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b/>
          <w:bCs/>
          <w:lang w:val="el" w:eastAsia="el"/>
        </w:rPr>
        <w:t xml:space="preserve"> 1.α Το ποσό των πιστωτικών και χρεωστικών τόκων καταθέσεων, repos, εντόκων γραμματίων του Ελληνικού Δημοσίου και ομολόγων του Ελληνικού Δημοσίου (όταν έχει μεσολαβήσει ημεδαπό πιστωτικό ή χρηματοδοτικό ίδρυμα), των τόκων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(όταν το ημεδαπό πιστωτικό ή χρηματοδοτικό ίδρυμα ενεργεί ως θεματοφύλακας -φορέας πληρωμής), καθώς και τα ποσά τόκων τίτλων αλλοδαπής προέλευσης (στην περίπτωση που μεσολαβεί ημεδαπό πιστωτικό ή χρηματοδοτικό ίδρυμα), κατοίκων Ελλάδας και αλλοδαπής, που αποκτήθηκε κατά το προηγούμενο έτος, καθώς και το ποσό του φόρου που παρακρατήθηκε, με τα στοιχεία των δικαιούχων/συνδικαιούχων, όπως όνομα, επώνυμο, επωνυμία, ΑΦΜ και ημερολογιακό έτος αναφοράς.</w:t>
      </w:r>
    </w:p>
    <w:p>
      <w:pPr>
        <w:spacing w:before="240" w:after="240"/>
        <w:rPr>
          <w:lang w:val="el" w:eastAsia="el"/>
        </w:rPr>
      </w:pPr>
      <w:r>
        <w:rPr>
          <w:b/>
          <w:bCs/>
          <w:lang w:val="el" w:eastAsia="el"/>
        </w:rPr>
        <w:t>Για τους τόκους καταθέσεων και τίτλων σε νόμισμα διαφορετικό του ευρώ, ως ισοτιμία για τη μετατροπή τους σε ευρώ λαμβάνεται η τιμή της ημερομηνίας πίστωσης των τόκων σε συνάλλαγμα ή η τιμή spot του δελτίου τιμών συναλλάγματος της Ευρωπαϊκής Κεντρικής Τράπεζας της τελευταίας εργάσιμης ημέρας του έτους αναφοράς.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Αναφορικά με την παραπάνω περίπτωση 1.1.α, διαβιβάζονται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 ή επίσημη επωνυμία ιδρύματος πληρωμών,</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Ονοματεπώνυμο-επωνυμία πρώτου δικαιούχου και συνδικαιούχων του λογαριασμού</w:t>
      </w:r>
      <w:r>
        <w:rPr>
          <w:rStyle w:val="Hyperlink"/>
          <w:b/>
          <w:bCs/>
          <w:color w:val="000000"/>
          <w:sz w:val="20"/>
          <w:szCs w:val="20"/>
          <w:u w:val="none" w:color="0000EE"/>
          <w:vertAlign w:val="superscript"/>
          <w:lang w:val="el" w:eastAsia="el"/>
        </w:rPr>
        <w:footnoteReference w:id="6"/>
      </w:r>
    </w:p>
    <w:p>
      <w:pPr>
        <w:pStyle w:val="StructureList1"/>
        <w:spacing w:before="120" w:after="0"/>
        <w:rPr>
          <w:lang w:val="el" w:eastAsia="el"/>
        </w:rPr>
      </w:pPr>
      <w:r>
        <w:rPr>
          <w:b/>
          <w:bCs/>
          <w:lang w:val="el" w:eastAsia="el"/>
        </w:rPr>
        <w:t>γ)</w:t>
      </w:r>
      <w:r>
        <w:rPr>
          <w:b/>
          <w:bCs/>
          <w:lang w:val="en" w:eastAsia="en"/>
        </w:rPr>
        <w:tab/>
      </w:r>
      <w:r>
        <w:rPr>
          <w:b/>
          <w:bCs/>
          <w:lang w:val="el" w:eastAsia="el"/>
        </w:rPr>
        <w:t>ΑΦΜ πρώτου δικαιούχου και συνδικαιούχων, ή όταν δεν υπάρχει, ΑΔΤ ή αριθμ. διαβατηρίου,</w:t>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Αριθμός λογαριασμού,</w:t>
      </w:r>
    </w:p>
    <w:p>
      <w:pPr>
        <w:pStyle w:val="StructureList1"/>
        <w:spacing w:before="120" w:after="0"/>
        <w:rPr>
          <w:lang w:val="el" w:eastAsia="el"/>
        </w:rPr>
      </w:pPr>
      <w:r>
        <w:rPr>
          <w:b/>
          <w:bCs/>
          <w:lang w:val="el" w:eastAsia="el"/>
        </w:rPr>
        <w:t>ε)</w:t>
      </w:r>
      <w:r>
        <w:rPr>
          <w:b/>
          <w:bCs/>
          <w:lang w:val="en" w:eastAsia="en"/>
        </w:rPr>
        <w:tab/>
      </w:r>
      <w:r>
        <w:rPr>
          <w:b/>
          <w:bCs/>
          <w:lang w:val="el" w:eastAsia="el"/>
        </w:rPr>
        <w:t>Ποσά πιστωτικών και χρεωστικών τόκων</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lang w:val="el" w:eastAsia="el"/>
        </w:rPr>
        <w:t>στ)</w:t>
      </w:r>
      <w:r>
        <w:rPr>
          <w:b/>
          <w:bCs/>
          <w:lang w:val="en" w:eastAsia="en"/>
        </w:rPr>
        <w:tab/>
      </w:r>
      <w:r>
        <w:rPr>
          <w:b/>
          <w:bCs/>
          <w:lang w:val="el" w:eastAsia="el"/>
        </w:rPr>
        <w:t>Κωδικός νομίσματος, σε ISO code 4217,</w:t>
      </w:r>
    </w:p>
    <w:p>
      <w:pPr>
        <w:pStyle w:val="StructureList1"/>
        <w:spacing w:before="120" w:after="0"/>
        <w:rPr>
          <w:lang w:val="el" w:eastAsia="el"/>
        </w:rPr>
      </w:pPr>
      <w:r>
        <w:rPr>
          <w:b/>
          <w:bCs/>
          <w:lang w:val="el" w:eastAsia="el"/>
        </w:rPr>
        <w:t>ζ)</w:t>
      </w:r>
      <w:r>
        <w:rPr>
          <w:b/>
          <w:bCs/>
          <w:lang w:val="en" w:eastAsia="en"/>
        </w:rPr>
        <w:tab/>
      </w:r>
      <w:r>
        <w:rPr>
          <w:b/>
          <w:bCs/>
          <w:lang w:val="el" w:eastAsia="el"/>
        </w:rPr>
        <w:t>Ημερολογιακό έτος αναφοράς.</w:t>
      </w:r>
    </w:p>
    <w:p>
      <w:pPr>
        <w:spacing w:before="240" w:after="240"/>
        <w:rPr>
          <w:lang w:val="el" w:eastAsia="el"/>
        </w:rPr>
      </w:pPr>
      <w:r>
        <w:rPr>
          <w:b/>
          <w:bCs/>
          <w:lang w:val="el" w:eastAsia="el"/>
        </w:rPr>
        <w:t>Τα ανωτέρω εφαρμόζονται ανάλογα και για στοιχεία που αφορούν δικαιούχους ημεδαπά και αλλοδαπά νομικά πρόσωπα και νομικές οντότητες.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1.β Στοιχεία που αφορούν σε δεδομένα καταθετικών λογαριασμών ή/και λογαριασμών πληρωμών φυσικών προσώπων, οι οποίοι εμφανίζουν είτε συνολική ετήσια κίνηση χρέωσης είτε συνολική ετήσια κίνηση πίστωσης, μεγαλύτερη των εκατό χιλιάδων (100.000) ευρώ.</w:t>
      </w:r>
    </w:p>
    <w:p>
      <w:pPr>
        <w:spacing w:before="240" w:after="240"/>
        <w:rPr>
          <w:lang w:val="el" w:eastAsia="el"/>
        </w:rPr>
      </w:pPr>
      <w:r>
        <w:rPr>
          <w:b/>
          <w:bCs/>
          <w:lang w:val="el" w:eastAsia="el"/>
        </w:rPr>
        <w:t> </w:t>
      </w:r>
    </w:p>
    <w:p>
      <w:pPr>
        <w:spacing w:before="240" w:after="240"/>
        <w:rPr>
          <w:lang w:val="el" w:eastAsia="el"/>
        </w:rPr>
      </w:pPr>
      <w:r>
        <w:rPr>
          <w:b/>
          <w:bCs/>
          <w:lang w:val="el" w:eastAsia="el"/>
        </w:rPr>
        <w:t>Αναφορικά με την παραπάνω περίπτωση 1.1.β, διαβιβάζονται τα εξής: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 ή επίσημη επωνυμία ιδρύματος πληρωμών ή ΕΛΤΑ,</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 δικαιούχων του λογαριασμού,</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γ)</w:t>
      </w:r>
      <w:r>
        <w:rPr>
          <w:b/>
          <w:bCs/>
          <w:lang w:val="en" w:eastAsia="en"/>
        </w:rPr>
        <w:tab/>
      </w:r>
      <w:r>
        <w:rPr>
          <w:b/>
          <w:bCs/>
          <w:lang w:val="el" w:eastAsia="el"/>
        </w:rPr>
        <w:t>ΑΦΜ των δικαιούχων ή όταν δεν υπάρχει, ΑΔΤ ή αριθμ. διαβατηρίου,</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Αριθμός λογαριασμού,</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ε)</w:t>
      </w:r>
      <w:r>
        <w:rPr>
          <w:b/>
          <w:bCs/>
          <w:lang w:val="en" w:eastAsia="en"/>
        </w:rPr>
        <w:tab/>
      </w:r>
      <w:r>
        <w:rPr>
          <w:b/>
          <w:bCs/>
          <w:lang w:val="el" w:eastAsia="el"/>
        </w:rPr>
        <w:t>Ποσά συνολικής χρέωσης σε ευρώ,</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στ)</w:t>
      </w:r>
      <w:r>
        <w:rPr>
          <w:b/>
          <w:bCs/>
          <w:lang w:val="en" w:eastAsia="en"/>
        </w:rPr>
        <w:tab/>
      </w:r>
      <w:r>
        <w:rPr>
          <w:b/>
          <w:bCs/>
          <w:lang w:val="el" w:eastAsia="el"/>
        </w:rPr>
        <w:t>Ποσά συνολικής πίστωσης σε ευρώ,</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ζ)</w:t>
      </w:r>
      <w:r>
        <w:rPr>
          <w:b/>
          <w:bCs/>
          <w:lang w:val="en" w:eastAsia="en"/>
        </w:rPr>
        <w:tab/>
      </w:r>
      <w:r>
        <w:rPr>
          <w:b/>
          <w:bCs/>
          <w:lang w:val="el" w:eastAsia="el"/>
        </w:rPr>
        <w:t>Το ποσό της μεγαλύτερης συναλλαγής, χρέωσης ή πίστωσης, ανά λογαριασμό,</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η)</w:t>
      </w:r>
      <w:r>
        <w:rPr>
          <w:b/>
          <w:bCs/>
          <w:lang w:val="en" w:eastAsia="en"/>
        </w:rPr>
        <w:tab/>
      </w:r>
      <w:r>
        <w:rPr>
          <w:b/>
          <w:bCs/>
          <w:lang w:val="el" w:eastAsia="el"/>
        </w:rPr>
        <w:t>Υπόλοιπα λογαριασμού σε ευρώ με ημερομηνία 31/12 τόσο για έκαστο ημερολογιακό έτος αναφοράς όσο και για το αμέσως προηγούμενο,</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θ)</w:t>
      </w:r>
      <w:r>
        <w:rPr>
          <w:b/>
          <w:bCs/>
          <w:lang w:val="en" w:eastAsia="en"/>
        </w:rPr>
        <w:tab/>
      </w:r>
      <w:r>
        <w:rPr>
          <w:b/>
          <w:bCs/>
          <w:lang w:val="el" w:eastAsia="el"/>
        </w:rPr>
        <w:t>Κωδικός νομίσματος, σε ISO code 4217,</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ι)</w:t>
      </w:r>
      <w:r>
        <w:rPr>
          <w:b/>
          <w:bCs/>
          <w:lang w:val="en" w:eastAsia="en"/>
        </w:rPr>
        <w:tab/>
      </w:r>
      <w:r>
        <w:rPr>
          <w:b/>
          <w:bCs/>
          <w:lang w:val="el" w:eastAsia="el"/>
        </w:rPr>
        <w:t>Ημερολογιακό έτος αναφοράς.</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b/>
          <w:bCs/>
          <w:lang w:val="el" w:eastAsia="el"/>
        </w:rPr>
        <w:t xml:space="preserve"> </w:t>
      </w:r>
      <w:r>
        <w:rPr>
          <w:b/>
          <w:bCs/>
          <w:lang w:val="el" w:eastAsia="el"/>
        </w:rPr>
        <w:t>1.γ Χαρτοφυλάκιο φυσικών προσώπων που αφορά σε κινητές αξίες, με ημερομηνία 31/12 τόσο έκαστου ημερολογιακού έτους αναφοράς όσο και του αμέσως προηγούμενου, χρηματικής αξίας μεγαλύτερης από διακόσιες χιλιάδες (200.000) ευρώ.</w:t>
      </w:r>
    </w:p>
    <w:p>
      <w:pPr>
        <w:spacing w:before="240" w:after="240"/>
        <w:rPr>
          <w:lang w:val="el" w:eastAsia="el"/>
        </w:rPr>
      </w:pPr>
      <w:r>
        <w:rPr>
          <w:b/>
          <w:bCs/>
          <w:lang w:val="el" w:eastAsia="el"/>
        </w:rPr>
        <w:t> </w:t>
      </w:r>
    </w:p>
    <w:p>
      <w:pPr>
        <w:spacing w:before="240" w:after="240"/>
        <w:rPr>
          <w:lang w:val="el" w:eastAsia="el"/>
        </w:rPr>
      </w:pPr>
      <w:r>
        <w:rPr>
          <w:b/>
          <w:bCs/>
          <w:lang w:val="el" w:eastAsia="el"/>
        </w:rPr>
        <w:t>Αναφορικά με την παραπάνω περίπτωση 1.1.γ, διαβιβάζονται τα εξής: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Ονοματεπώνυμο δικαιούχων,</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ΑΦΜ των δικαιούχων ή όταν δεν υπάρχει, ΑΔΤ ή αριθμ. διαβατηρίου,</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γ)</w:t>
      </w:r>
      <w:r>
        <w:rPr>
          <w:b/>
          <w:bCs/>
          <w:lang w:val="en" w:eastAsia="en"/>
        </w:rPr>
        <w:tab/>
      </w:r>
      <w:r>
        <w:rPr>
          <w:b/>
          <w:bCs/>
          <w:lang w:val="el" w:eastAsia="el"/>
        </w:rPr>
        <w:t>Αριθμός λογαριασμού στο Σ.Α.Τ. (Σύστημα Άυλων Τίτλων), εφόσον τηρείται τέτοιος αριθμός επ' ονόματι δικαιούχου ενεργού χαρτοφυλακίου,</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δ)</w:t>
      </w:r>
      <w:r>
        <w:rPr>
          <w:b/>
          <w:bCs/>
          <w:lang w:val="en" w:eastAsia="en"/>
        </w:rPr>
        <w:tab/>
      </w:r>
      <w:r>
        <w:rPr>
          <w:b/>
          <w:bCs/>
          <w:lang w:val="el" w:eastAsia="el"/>
        </w:rPr>
        <w:t>Αποτίμηση χαρτοφυλακίου σε ευρώ την 31/12 τόσο για έκαστο ημερολογιακό έτος αναφοράς όσο και για το αμέσως προηγούμενο,</w:t>
      </w:r>
    </w:p>
    <w:p>
      <w:pPr>
        <w:pStyle w:val="StructureList1"/>
        <w:spacing w:before="120" w:after="0"/>
        <w:rPr>
          <w:lang w:val="el" w:eastAsia="el"/>
        </w:rPr>
      </w:pPr>
      <w:r>
        <w:rPr>
          <w:b/>
          <w:bCs/>
          <w:lang w:val="el" w:eastAsia="el"/>
        </w:rPr>
        <w:t>ε)</w:t>
      </w:r>
      <w:r>
        <w:rPr>
          <w:b/>
          <w:bCs/>
          <w:lang w:val="en" w:eastAsia="en"/>
        </w:rPr>
        <w:tab/>
      </w:r>
      <w:r>
        <w:rPr>
          <w:b/>
          <w:bCs/>
          <w:lang w:val="el" w:eastAsia="el"/>
        </w:rPr>
        <w:t>Ημερολογιακό έτος αναφοράς.</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b/>
          <w:bCs/>
          <w:lang w:val="el" w:eastAsia="el"/>
        </w:rPr>
        <w:t xml:space="preserve"> </w:t>
      </w:r>
      <w:r>
        <w:rPr>
          <w:b/>
          <w:bCs/>
          <w:lang w:val="el" w:eastAsia="el"/>
        </w:rPr>
        <w:t>1.δ Στοιχεία που αφορούν σε μερίσματα, που διανεμήθηκαν σε φυσικά και νομικά πρόσωπα κατά το προηγούμενο ημερολογιακό έτος από εταιρείες με μετοχές εισηγμένες στο Χρηματιστήριο Αθηνών.</w:t>
      </w:r>
    </w:p>
    <w:p>
      <w:pPr>
        <w:spacing w:before="240" w:after="240"/>
        <w:rPr>
          <w:lang w:val="el" w:eastAsia="el"/>
        </w:rPr>
      </w:pPr>
      <w:r>
        <w:rPr>
          <w:b/>
          <w:bCs/>
          <w:lang w:val="el" w:eastAsia="el"/>
        </w:rPr>
        <w:t>Αναφορικά με την παραπάνω περίπτωση 1.1.δ, διαβιβάζονται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Ονοματεπώνυμο-επωνυμία δικαιούχων,</w:t>
      </w:r>
    </w:p>
    <w:p>
      <w:pPr>
        <w:pStyle w:val="StructureList1"/>
        <w:spacing w:before="120" w:after="0"/>
        <w:rPr>
          <w:lang w:val="el" w:eastAsia="el"/>
        </w:rPr>
      </w:pPr>
      <w:r>
        <w:rPr>
          <w:b/>
          <w:bCs/>
          <w:lang w:val="el" w:eastAsia="el"/>
        </w:rPr>
        <w:t>β)</w:t>
      </w:r>
      <w:r>
        <w:rPr>
          <w:b/>
          <w:bCs/>
          <w:lang w:val="en" w:eastAsia="en"/>
        </w:rPr>
        <w:tab/>
      </w:r>
      <w:r>
        <w:rPr>
          <w:b/>
          <w:bCs/>
          <w:lang w:val="el" w:eastAsia="el"/>
        </w:rPr>
        <w:t>Α.Φ.Μ. των δικαιούχων,</w:t>
      </w:r>
    </w:p>
    <w:p>
      <w:pPr>
        <w:pStyle w:val="StructureList1"/>
        <w:spacing w:before="120" w:after="0"/>
        <w:rPr>
          <w:lang w:val="el" w:eastAsia="el"/>
        </w:rPr>
      </w:pPr>
      <w:r>
        <w:rPr>
          <w:b/>
          <w:bCs/>
          <w:lang w:val="el" w:eastAsia="el"/>
        </w:rPr>
        <w:t>γ)</w:t>
      </w:r>
      <w:r>
        <w:rPr>
          <w:b/>
          <w:bCs/>
          <w:lang w:val="en" w:eastAsia="en"/>
        </w:rPr>
        <w:tab/>
      </w:r>
      <w:r>
        <w:rPr>
          <w:b/>
          <w:bCs/>
          <w:lang w:val="el" w:eastAsia="el"/>
        </w:rPr>
        <w:t>Αριθμός λογαριασμού στο Σ.Α.Τ. (Σύστημα Άυλων Τίτλων), εφόσον τηρείται τέτοιος αριθμός επ' ονόματι δικαιούχου ενεργού χαρτοφυλακίου,</w:t>
      </w:r>
    </w:p>
    <w:p>
      <w:pPr>
        <w:pStyle w:val="StructureList1"/>
        <w:spacing w:before="120" w:after="0"/>
        <w:rPr>
          <w:lang w:val="el" w:eastAsia="el"/>
        </w:rPr>
      </w:pPr>
      <w:r>
        <w:rPr>
          <w:b/>
          <w:bCs/>
          <w:lang w:val="el" w:eastAsia="el"/>
        </w:rPr>
        <w:t>δ)</w:t>
      </w:r>
      <w:r>
        <w:rPr>
          <w:b/>
          <w:bCs/>
          <w:lang w:val="en" w:eastAsia="en"/>
        </w:rPr>
        <w:tab/>
      </w:r>
      <w:r>
        <w:rPr>
          <w:b/>
          <w:bCs/>
          <w:lang w:val="el" w:eastAsia="el"/>
        </w:rPr>
        <w:t>Επωνυμία της εταιρείας που διένειμε το μέρισμα/ προμέρισμα,</w:t>
      </w:r>
      <w:r>
        <w:rPr>
          <w:rStyle w:val="Hyperlink"/>
          <w:b/>
          <w:bCs/>
          <w:color w:val="000000"/>
          <w:sz w:val="20"/>
          <w:szCs w:val="20"/>
          <w:u w:val="none" w:color="0000EE"/>
          <w:vertAlign w:val="superscript"/>
          <w:lang w:val="el" w:eastAsia="el"/>
        </w:rPr>
        <w:footnoteReference w:id="10"/>
      </w:r>
    </w:p>
    <w:p>
      <w:pPr>
        <w:pStyle w:val="StructureList1"/>
        <w:spacing w:before="120" w:after="0"/>
        <w:rPr>
          <w:lang w:val="el" w:eastAsia="el"/>
        </w:rPr>
      </w:pPr>
      <w:r>
        <w:rPr>
          <w:b/>
          <w:bCs/>
          <w:lang w:val="el" w:eastAsia="el"/>
        </w:rPr>
        <w:t>ε)</w:t>
      </w:r>
      <w:r>
        <w:rPr>
          <w:b/>
          <w:bCs/>
          <w:lang w:val="en" w:eastAsia="en"/>
        </w:rPr>
        <w:tab/>
      </w:r>
      <w:r>
        <w:rPr>
          <w:b/>
          <w:bCs/>
          <w:lang w:val="el" w:eastAsia="el"/>
        </w:rPr>
        <w:t>Α.Φ.Μ της εταιρείας που διένειμε το μέρισμα/προ-μέρισμα,</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του μερίσματος,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Το ποσό του προμερίσματος, το οποίο αφορά το φορολογικό έτος που θα εγκριθεί η διανομή του από την Τακτική Γενική Συνέλευση,</w:t>
      </w:r>
      <w:r>
        <w:rPr>
          <w:rStyle w:val="Hyperlink"/>
          <w:b/>
          <w:bCs/>
          <w:color w:val="000000"/>
          <w:sz w:val="20"/>
          <w:szCs w:val="20"/>
          <w:u w:val="none" w:color="0000EE"/>
          <w:vertAlign w:val="superscript"/>
          <w:lang w:val="el" w:eastAsia="el"/>
        </w:rPr>
        <w:footnoteReference w:id="12"/>
      </w:r>
    </w:p>
    <w:p>
      <w:pPr>
        <w:pStyle w:val="StructureList1"/>
        <w:spacing w:before="120" w:after="0"/>
        <w:rPr>
          <w:lang w:val="el" w:eastAsia="el"/>
        </w:rPr>
      </w:pPr>
      <w:r>
        <w:rPr>
          <w:b/>
          <w:bCs/>
          <w:lang w:val="el" w:eastAsia="el"/>
        </w:rPr>
        <w:t>η)</w:t>
      </w:r>
      <w:r>
        <w:rPr>
          <w:b/>
          <w:bCs/>
          <w:lang w:val="en" w:eastAsia="en"/>
        </w:rPr>
        <w:tab/>
      </w:r>
      <w:r>
        <w:rPr>
          <w:b/>
          <w:bCs/>
          <w:lang w:val="el" w:eastAsia="el"/>
        </w:rPr>
        <w:t>Το ποσό του φόρου που παρακρατήθηκε στα εισοδήματα των στοιχείων στ' και ζ',</w:t>
      </w:r>
      <w:r>
        <w:rPr>
          <w:rStyle w:val="Hyperlink"/>
          <w:b/>
          <w:bCs/>
          <w:color w:val="000000"/>
          <w:sz w:val="20"/>
          <w:szCs w:val="20"/>
          <w:u w:val="none" w:color="0000EE"/>
          <w:vertAlign w:val="superscript"/>
          <w:lang w:val="el" w:eastAsia="el"/>
        </w:rPr>
        <w:footnoteReference w:id="13"/>
      </w:r>
    </w:p>
    <w:p>
      <w:pPr>
        <w:pStyle w:val="StructureList1"/>
        <w:spacing w:before="120" w:after="0"/>
        <w:rPr>
          <w:lang w:val="el" w:eastAsia="el"/>
        </w:rPr>
      </w:pPr>
      <w:r>
        <w:rPr>
          <w:b/>
          <w:bCs/>
          <w:lang w:val="el" w:eastAsia="el"/>
        </w:rPr>
        <w:t>θ)</w:t>
      </w:r>
      <w:r>
        <w:rPr>
          <w:b/>
          <w:bCs/>
          <w:lang w:val="en" w:eastAsia="en"/>
        </w:rPr>
        <w:tab/>
      </w:r>
      <w:r>
        <w:rPr>
          <w:b/>
          <w:bCs/>
          <w:lang w:val="el" w:eastAsia="el"/>
        </w:rPr>
        <w:t>Το ποσό του μερίσματος που απαλλάσσεται του φόρου βάσει ειδικών διατάξεων νόμων,</w:t>
      </w:r>
      <w:r>
        <w:rPr>
          <w:rStyle w:val="Hyperlink"/>
          <w:b/>
          <w:bCs/>
          <w:color w:val="000000"/>
          <w:sz w:val="20"/>
          <w:szCs w:val="20"/>
          <w:u w:val="none" w:color="0000EE"/>
          <w:vertAlign w:val="superscript"/>
          <w:lang w:val="el" w:eastAsia="el"/>
        </w:rPr>
        <w:footnoteReference w:id="14"/>
      </w:r>
    </w:p>
    <w:p>
      <w:pPr>
        <w:pStyle w:val="StructureList1"/>
        <w:spacing w:before="120" w:after="0"/>
        <w:rPr>
          <w:lang w:val="el" w:eastAsia="el"/>
        </w:rPr>
      </w:pPr>
      <w:r>
        <w:rPr>
          <w:b/>
          <w:bCs/>
          <w:lang w:val="el" w:eastAsia="el"/>
        </w:rPr>
        <w:t>ι)</w:t>
      </w:r>
      <w:r>
        <w:rPr>
          <w:b/>
          <w:bCs/>
          <w:lang w:val="en" w:eastAsia="en"/>
        </w:rPr>
        <w:tab/>
      </w:r>
      <w:r>
        <w:rPr>
          <w:b/>
          <w:bCs/>
          <w:lang w:val="el" w:eastAsia="el"/>
        </w:rPr>
        <w:t>Το ποσό του μερίσματος που καταβάλλεται από αλλοδαπές εταιρείες εισηγμένες στο Χ.Α.</w:t>
      </w:r>
      <w:r>
        <w:rPr>
          <w:rStyle w:val="Hyperlink"/>
          <w:b/>
          <w:bCs/>
          <w:color w:val="000000"/>
          <w:sz w:val="20"/>
          <w:szCs w:val="20"/>
          <w:u w:val="none" w:color="0000EE"/>
          <w:vertAlign w:val="superscript"/>
          <w:lang w:val="el" w:eastAsia="el"/>
        </w:rPr>
        <w:footnoteReference w:id="15"/>
      </w:r>
    </w:p>
    <w:p>
      <w:pPr>
        <w:pStyle w:val="StructureList1"/>
        <w:spacing w:before="120" w:after="0"/>
        <w:rPr>
          <w:lang w:val="el" w:eastAsia="el"/>
        </w:rPr>
      </w:pPr>
      <w:r>
        <w:rPr>
          <w:b/>
          <w:bCs/>
          <w:lang w:val="el" w:eastAsia="el"/>
        </w:rPr>
        <w:t>ια)</w:t>
      </w:r>
      <w:r>
        <w:rPr>
          <w:b/>
          <w:bCs/>
          <w:lang w:val="en" w:eastAsia="en"/>
        </w:rPr>
        <w:tab/>
      </w:r>
      <w:r>
        <w:rPr>
          <w:b/>
          <w:bCs/>
          <w:lang w:val="el" w:eastAsia="el"/>
        </w:rPr>
        <w:t>Ημερολογιακό έτος αναφοράς.</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1.ε. Στοιχεία που αφορούν σε χρηματικά ποσά που πραγματικά καταβάλλονται για τοκοχρεωλυτική απόσβεση δανείων, περιλαμβανομένων και των δεδουλευμένων και καταβλημένων τόκων, καθώς και των τυχόν τόκων υπερημερίας.</w:t>
      </w:r>
    </w:p>
    <w:p>
      <w:pPr>
        <w:spacing w:before="240" w:after="240"/>
        <w:rPr>
          <w:lang w:val="el" w:eastAsia="el"/>
        </w:rPr>
      </w:pPr>
      <w:r>
        <w:rPr>
          <w:b/>
          <w:bCs/>
          <w:lang w:val="el" w:eastAsia="el"/>
        </w:rPr>
        <w:t>Αναφορικά με την παραπάνω περίπτωση 1.1.ε, διαβιβάζονται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Κωδικός Πιστωτικού Ιδρύματος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Είδος δανείου (Στεγαστικό, Καταναλωτικό, Επιχειρηματικό, Άλλο)</w:t>
      </w:r>
    </w:p>
    <w:p>
      <w:pPr>
        <w:pStyle w:val="StructureList1"/>
        <w:spacing w:before="120" w:after="0"/>
        <w:rPr>
          <w:lang w:val="el" w:eastAsia="el"/>
        </w:rPr>
      </w:pPr>
      <w:r>
        <w:rPr>
          <w:b/>
          <w:bCs/>
          <w:lang w:val="el" w:eastAsia="el"/>
        </w:rPr>
        <w:t>γ)</w:t>
      </w:r>
      <w:r>
        <w:rPr>
          <w:b/>
          <w:bCs/>
          <w:lang w:val="en" w:eastAsia="en"/>
        </w:rPr>
        <w:tab/>
      </w:r>
      <w:r>
        <w:rPr>
          <w:b/>
          <w:bCs/>
          <w:lang w:val="el" w:eastAsia="el"/>
        </w:rPr>
        <w:t>Συνολικό ύψος εκταμιευμένου δανείου σε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Ημερομηνία χορήγησης δανείου</w:t>
      </w:r>
    </w:p>
    <w:p>
      <w:pPr>
        <w:pStyle w:val="StructureList1"/>
        <w:spacing w:before="120" w:after="0"/>
        <w:rPr>
          <w:lang w:val="el" w:eastAsia="el"/>
        </w:rPr>
      </w:pPr>
      <w:r>
        <w:rPr>
          <w:b/>
          <w:bCs/>
          <w:lang w:val="el" w:eastAsia="el"/>
        </w:rPr>
        <w:t>ε)</w:t>
      </w:r>
      <w:r>
        <w:rPr>
          <w:b/>
          <w:bCs/>
          <w:lang w:val="en" w:eastAsia="en"/>
        </w:rPr>
        <w:tab/>
      </w:r>
      <w:r>
        <w:rPr>
          <w:b/>
          <w:bCs/>
          <w:lang w:val="el" w:eastAsia="el"/>
        </w:rPr>
        <w:t>Συνολικό καταβληθέν ποσό για απόσβεση δανείου (τόκοι και κεφάλαιο)</w:t>
      </w:r>
    </w:p>
    <w:p>
      <w:pPr>
        <w:pStyle w:val="StructureList1"/>
        <w:spacing w:before="120" w:after="0"/>
        <w:rPr>
          <w:lang w:val="el" w:eastAsia="el"/>
        </w:rPr>
      </w:pPr>
      <w:r>
        <w:rPr>
          <w:b/>
          <w:bCs/>
          <w:lang w:val="el" w:eastAsia="el"/>
        </w:rPr>
        <w:t>στ)</w:t>
      </w:r>
      <w:r>
        <w:rPr>
          <w:b/>
          <w:bCs/>
          <w:lang w:val="en" w:eastAsia="en"/>
        </w:rPr>
        <w:tab/>
      </w:r>
      <w:r>
        <w:rPr>
          <w:b/>
          <w:bCs/>
          <w:lang w:val="el" w:eastAsia="el"/>
        </w:rPr>
        <w:t>Πλήθος οφειλετών/συνοφειλετών</w:t>
      </w:r>
    </w:p>
    <w:p>
      <w:pPr>
        <w:pStyle w:val="StructureList1"/>
        <w:spacing w:before="120" w:after="0"/>
        <w:rPr>
          <w:lang w:val="el" w:eastAsia="el"/>
        </w:rPr>
      </w:pPr>
      <w:r>
        <w:rPr>
          <w:b/>
          <w:bCs/>
          <w:lang w:val="el" w:eastAsia="el"/>
        </w:rPr>
        <w:t>ζ)</w:t>
      </w:r>
      <w:r>
        <w:rPr>
          <w:b/>
          <w:bCs/>
          <w:lang w:val="en" w:eastAsia="en"/>
        </w:rPr>
        <w:tab/>
      </w:r>
      <w:r>
        <w:rPr>
          <w:b/>
          <w:bCs/>
          <w:lang w:val="el" w:eastAsia="el"/>
        </w:rPr>
        <w:t>Α.Φ.Μ. πρώτου οφειλέτη</w:t>
      </w:r>
    </w:p>
    <w:p>
      <w:pPr>
        <w:pStyle w:val="StructureList1"/>
        <w:spacing w:before="120" w:after="0"/>
        <w:rPr>
          <w:lang w:val="el" w:eastAsia="el"/>
        </w:rPr>
      </w:pPr>
      <w:r>
        <w:rPr>
          <w:b/>
          <w:bCs/>
          <w:lang w:val="el" w:eastAsia="el"/>
        </w:rPr>
        <w:t>η)</w:t>
      </w:r>
      <w:r>
        <w:rPr>
          <w:b/>
          <w:bCs/>
          <w:lang w:val="en" w:eastAsia="en"/>
        </w:rPr>
        <w:tab/>
      </w:r>
      <w:r>
        <w:rPr>
          <w:b/>
          <w:bCs/>
          <w:lang w:val="el" w:eastAsia="el"/>
        </w:rPr>
        <w:t>ΑΔΤ ή αριθμ διαβατηρίου</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Ποσοστό συμμετοχής πρώτου οφειλέτη </w:t>
      </w:r>
    </w:p>
    <w:p>
      <w:pPr>
        <w:pStyle w:val="StructureList1"/>
        <w:spacing w:before="120" w:after="0"/>
        <w:rPr>
          <w:lang w:val="el" w:eastAsia="el"/>
        </w:rPr>
      </w:pPr>
      <w:r>
        <w:rPr>
          <w:b/>
          <w:bCs/>
          <w:lang w:val="el" w:eastAsia="el"/>
        </w:rPr>
        <w:t>ι)</w:t>
      </w:r>
      <w:r>
        <w:rPr>
          <w:b/>
          <w:bCs/>
          <w:lang w:val="en" w:eastAsia="en"/>
        </w:rPr>
        <w:tab/>
      </w:r>
      <w:r>
        <w:rPr>
          <w:b/>
          <w:bCs/>
          <w:lang w:val="el" w:eastAsia="el"/>
        </w:rPr>
        <w:t>Ονοματεπώνυμο πρώτου οφειλέτη.</w:t>
      </w:r>
    </w:p>
    <w:p>
      <w:pPr>
        <w:spacing w:before="240" w:after="240"/>
        <w:rPr>
          <w:lang w:val="el" w:eastAsia="el"/>
        </w:rPr>
      </w:pPr>
      <w:r>
        <w:rPr>
          <w:b/>
          <w:bCs/>
          <w:lang w:val="el" w:eastAsia="el"/>
        </w:rPr>
        <w:t>ΠΡΟΣΟΧΗ: Τα στοιχεία ζ, η, θ και ι, επαναλαμβάνονται για κάθε οφειλέτη, όταν υπάρχουν συνοφειλέτες.</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Επιπλέον, οι φορείς (τράπεζες κ.λπ.) εκκαθάρισης συναλλαγών με χρήση καρτών πληρωμών (πιστωτικών ή και χρεωστικών) συμπεριλαμβανομένων των συναλλαγών ανάληψης σε ελληνικά Α.Τ.Μ. (Αυτόματες Ταμειολογιστικές Μηχανές) διαβιβάζουν στη Γ.Γ.Δ.Ε. του Υπουργείου Οικονομικών, στοιχεία που αφορούν σε συναλλαγές καρτών πληρωμών που έχουν εκδοθεί στην αλλοδαπή από πιστωτικό ίδρυμα με έδρα εκτός Ελλάδας.</w:t>
      </w:r>
    </w:p>
    <w:p>
      <w:pPr>
        <w:spacing w:before="240" w:after="240"/>
        <w:rPr>
          <w:lang w:val="el" w:eastAsia="el"/>
        </w:rPr>
      </w:pPr>
      <w:r>
        <w:rPr>
          <w:b/>
          <w:bCs/>
          <w:lang w:val="el" w:eastAsia="el"/>
        </w:rPr>
        <w:t>Τα στοιχεία που διαβιβάζονται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Αριθμός κάρτας πληρωμών τράπεζας εκδότη που δεν λειτουργεί στην Ελλάδα, σύμφωνα με τα διεθνή πρότυπα ασφαλείας.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Πλήθος συναλλαγών καρτών που εκκαθαρίστηκαν, ανά μήνα βάση της ημερομηνίας συναλλαγής από την Τράπεζα.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συναλλαγών καρτών σε ευρώ που εκκαθαρίστηκαν, ανά μήνα βάση της ημερομηνίας συναλλαγής από την Τράπεζα.</w:t>
      </w:r>
    </w:p>
    <w:p>
      <w:pPr>
        <w:spacing w:before="240" w:after="240"/>
        <w:rPr>
          <w:lang w:val="el" w:eastAsia="el"/>
        </w:rPr>
      </w:pPr>
      <w:r>
        <w:rPr>
          <w:b/>
          <w:bCs/>
          <w:lang w:val="el" w:eastAsia="el"/>
        </w:rPr>
        <w:t xml:space="preserve">Στο πλήθος των συναλλαγών του στοιχείου (β) προσμετρώνται οι εκκαθαρισθείσες συναλλαγές αγορών και επιστροφών (ακυρώσεων). </w:t>
      </w:r>
    </w:p>
    <w:p>
      <w:pPr>
        <w:spacing w:before="240" w:after="240"/>
        <w:rPr>
          <w:lang w:val="el" w:eastAsia="el"/>
        </w:rPr>
      </w:pPr>
      <w:r>
        <w:rPr>
          <w:b/>
          <w:bCs/>
          <w:lang w:val="el" w:eastAsia="el"/>
        </w:rPr>
        <w:t>Στην αξία των συναλλαγών του στοιχείου (δ) αφαιρούνται τα ποσά των επιστροφών (ακυρώσεων) από τα ποσά των αγορών (net balance). Στην αξία των συναλλαγών καταγράφεται το σύνολο του ποσού της αγοράς σε περιπτώσεις δόσεων (και όχι το ποσό της δόσης).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3.</w:t>
      </w:r>
      <w:r>
        <w:rPr>
          <w:b/>
          <w:bCs/>
          <w:lang w:val="el" w:eastAsia="el"/>
        </w:rPr>
        <w:t xml:space="preserve"> Η συχνότητα διαβίβασης των στοιχείων των παραγράφων 1.1 και 1.2 είναι ετήσια και ως καταληκτική ημερομηνία ορίζεται η 28η Φεβρουαρίου του επόμενου έτους του έτους αναφοράς. Οι προδιαγραφές του αρχείου και ο τρόπος διαβίβασής του, θα αναρτηθούν έγκαιρα στην ιστοσελίδα της Α.Α.Δ.Ε. Για την περίπτωση τροποποιητικής -διορθωτικής υποβολής αρχείου, απαιτείται η αποστολή νέου διορθωμένου αρχείου με το σύνολο των διαθεσίμων στοιχείων, εντός των προβλεπόμενων προθεσμιών.</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Τα πιστωτικά και χρηματοδοτικά ιδρύματα, τα ιδρύματα πληρωμών και τα Ελληνικά Ταχυδρομεία διαβιβάζουν στη Γ.Γ.Δ.Ε. του Υπουργείου Οικονομικών στοιχεία που αφορούν σε:</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μεταφορές πίστωσης, εμβάσματα, άμεσες χρεώσεις και τραπεζικές επιταγές πελατών τους (φυσικών και νομικών προσώπων) για μεταφορά κεφαλαίων στο εξωτερικό,</w:t>
      </w:r>
    </w:p>
    <w:p>
      <w:pPr>
        <w:pStyle w:val="StructureList1"/>
        <w:spacing w:before="120" w:after="0"/>
        <w:rPr>
          <w:lang w:val="el" w:eastAsia="el"/>
        </w:rPr>
      </w:pPr>
      <w:r>
        <w:rPr>
          <w:b/>
          <w:bCs/>
          <w:lang w:val="el" w:eastAsia="el"/>
        </w:rPr>
        <w:t>β)</w:t>
      </w:r>
      <w:r>
        <w:rPr>
          <w:b/>
          <w:bCs/>
          <w:lang w:val="en" w:eastAsia="en"/>
        </w:rPr>
        <w:tab/>
      </w:r>
      <w:r>
        <w:rPr>
          <w:b/>
          <w:bCs/>
          <w:lang w:val="el" w:eastAsia="el"/>
        </w:rPr>
        <w:t>εισπράξεις συμβεβλημένων με αυτά επιχειρήσεων, μέσω πιστωτικών καρτών.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4.α </w:t>
      </w:r>
      <w:r>
        <w:rPr>
          <w:b/>
          <w:bCs/>
          <w:lang w:val="el" w:eastAsia="el"/>
        </w:rPr>
        <w:t>Αναφορικά με τις μεταφορές πίστωσης που εκκινούνται από λογαριασμό πληρωμών που τηρεί στο πιστωτικό ίδρυμα ή σε άλλο πάροχο υπηρεσιών πληρωμών ο πληρωτής/εντολέας και τα εμβάσματα, που εκκινούνται με μετρητά, χωρίς τήρηση λογαριασμού πληρωμών, διαβιβάζονται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 πληρωτή ή πρώτου δικαιούχου του λογαριασμού που χρεώνεται,</w:t>
      </w:r>
    </w:p>
    <w:p>
      <w:pPr>
        <w:pStyle w:val="StructureList1"/>
        <w:spacing w:before="120" w:after="0"/>
        <w:rPr>
          <w:lang w:val="el" w:eastAsia="el"/>
        </w:rPr>
      </w:pPr>
      <w:r>
        <w:rPr>
          <w:b/>
          <w:bCs/>
          <w:lang w:val="el" w:eastAsia="el"/>
        </w:rPr>
        <w:t>γ)</w:t>
      </w:r>
      <w:r>
        <w:rPr>
          <w:b/>
          <w:bCs/>
          <w:lang w:val="en" w:eastAsia="en"/>
        </w:rPr>
        <w:tab/>
      </w:r>
      <w:r>
        <w:rPr>
          <w:b/>
          <w:bCs/>
          <w:lang w:val="el" w:eastAsia="el"/>
        </w:rPr>
        <w:t>Συνολικός αριθμός δικαιούχων στο λογαριασμό που χρεώνεται,</w:t>
      </w:r>
    </w:p>
    <w:p>
      <w:pPr>
        <w:pStyle w:val="StructureList1"/>
        <w:spacing w:before="120" w:after="0"/>
        <w:rPr>
          <w:lang w:val="el" w:eastAsia="el"/>
        </w:rPr>
      </w:pPr>
      <w:r>
        <w:rPr>
          <w:b/>
          <w:bCs/>
          <w:lang w:val="el" w:eastAsia="el"/>
        </w:rPr>
        <w:t>δ)</w:t>
      </w:r>
      <w:r>
        <w:rPr>
          <w:b/>
          <w:bCs/>
          <w:lang w:val="en" w:eastAsia="en"/>
        </w:rPr>
        <w:tab/>
      </w:r>
      <w:r>
        <w:rPr>
          <w:b/>
          <w:bCs/>
          <w:lang w:val="el" w:eastAsia="el"/>
        </w:rPr>
        <w:t>ΑΦΜ πληρωτή ή ΑΦΜ πρώτου δικαιούχου του λογαριασμού,</w:t>
      </w:r>
    </w:p>
    <w:p>
      <w:pPr>
        <w:pStyle w:val="StructureList1"/>
        <w:spacing w:before="120" w:after="0"/>
        <w:rPr>
          <w:lang w:val="el" w:eastAsia="el"/>
        </w:rPr>
      </w:pPr>
      <w:r>
        <w:rPr>
          <w:b/>
          <w:bCs/>
          <w:lang w:val="el" w:eastAsia="el"/>
        </w:rPr>
        <w:t>ε)</w:t>
      </w:r>
      <w:r>
        <w:rPr>
          <w:b/>
          <w:bCs/>
          <w:lang w:val="en" w:eastAsia="en"/>
        </w:rPr>
        <w:tab/>
      </w:r>
      <w:r>
        <w:rPr>
          <w:b/>
          <w:bCs/>
          <w:lang w:val="el" w:eastAsia="el"/>
        </w:rPr>
        <w:t>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pStyle w:val="StructureList1"/>
        <w:spacing w:before="120" w:after="0"/>
        <w:rPr>
          <w:lang w:val="el" w:eastAsia="el"/>
        </w:rPr>
      </w:pPr>
      <w:r>
        <w:rPr>
          <w:b/>
          <w:bCs/>
          <w:lang w:val="el" w:eastAsia="el"/>
        </w:rPr>
        <w:t>στ)</w:t>
      </w:r>
      <w:r>
        <w:rPr>
          <w:b/>
          <w:bCs/>
          <w:lang w:val="en" w:eastAsia="en"/>
        </w:rPr>
        <w:tab/>
      </w:r>
      <w:r>
        <w:rPr>
          <w:b/>
          <w:bCs/>
          <w:lang w:val="el" w:eastAsia="el"/>
        </w:rPr>
        <w:t>Μοναδικός κωδικός αναφοράς του εμβάσματος,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Κωδικός νομίσματος συναλλαγής, σε ISO code 4217,</w:t>
      </w:r>
    </w:p>
    <w:p>
      <w:pPr>
        <w:pStyle w:val="StructureList1"/>
        <w:spacing w:before="120" w:after="0"/>
        <w:rPr>
          <w:lang w:val="el" w:eastAsia="el"/>
        </w:rPr>
      </w:pPr>
      <w:r>
        <w:rPr>
          <w:b/>
          <w:bCs/>
          <w:lang w:val="el" w:eastAsia="el"/>
        </w:rPr>
        <w:t>η)</w:t>
      </w:r>
      <w:r>
        <w:rPr>
          <w:b/>
          <w:bCs/>
          <w:lang w:val="en" w:eastAsia="en"/>
        </w:rPr>
        <w:tab/>
      </w:r>
      <w:r>
        <w:rPr>
          <w:b/>
          <w:bCs/>
          <w:lang w:val="el" w:eastAsia="el"/>
        </w:rPr>
        <w:t>Ποσό συναλλαγής,</w:t>
      </w:r>
    </w:p>
    <w:p>
      <w:pPr>
        <w:pStyle w:val="StructureList1"/>
        <w:spacing w:before="120" w:after="0"/>
        <w:rPr>
          <w:lang w:val="el" w:eastAsia="el"/>
        </w:rPr>
      </w:pPr>
      <w:r>
        <w:rPr>
          <w:b/>
          <w:bCs/>
          <w:lang w:val="el" w:eastAsia="el"/>
        </w:rPr>
        <w:t>θ)</w:t>
      </w:r>
      <w:r>
        <w:rPr>
          <w:b/>
          <w:bCs/>
          <w:lang w:val="en" w:eastAsia="en"/>
        </w:rPr>
        <w:tab/>
      </w:r>
      <w:r>
        <w:rPr>
          <w:b/>
          <w:bCs/>
          <w:lang w:val="el" w:eastAsia="el"/>
        </w:rPr>
        <w:t>Ημερομηνία συναλλαγής,</w:t>
      </w:r>
    </w:p>
    <w:p>
      <w:pPr>
        <w:pStyle w:val="StructureList1"/>
        <w:spacing w:before="120" w:after="0"/>
        <w:rPr>
          <w:lang w:val="el" w:eastAsia="el"/>
        </w:rPr>
      </w:pPr>
      <w:r>
        <w:rPr>
          <w:b/>
          <w:bCs/>
          <w:lang w:val="el" w:eastAsia="el"/>
        </w:rPr>
        <w:t>ι)</w:t>
      </w:r>
      <w:r>
        <w:rPr>
          <w:b/>
          <w:bCs/>
          <w:lang w:val="en" w:eastAsia="en"/>
        </w:rPr>
        <w:tab/>
      </w:r>
      <w:r>
        <w:rPr>
          <w:b/>
          <w:bCs/>
          <w:lang w:val="el" w:eastAsia="el"/>
        </w:rPr>
        <w:t>Χώρα προορισμού της μεταφοράς πίστωσης ή του εμβάσματος, σε ISO code 3166,</w:t>
      </w:r>
    </w:p>
    <w:p>
      <w:pPr>
        <w:pStyle w:val="StructureList1"/>
        <w:spacing w:before="120" w:after="0"/>
        <w:rPr>
          <w:lang w:val="el" w:eastAsia="el"/>
        </w:rPr>
      </w:pPr>
      <w:r>
        <w:rPr>
          <w:b/>
          <w:bCs/>
          <w:lang w:val="el" w:eastAsia="el"/>
        </w:rPr>
        <w:t>ια)</w:t>
      </w:r>
      <w:r>
        <w:rPr>
          <w:b/>
          <w:bCs/>
          <w:lang w:val="en" w:eastAsia="en"/>
        </w:rPr>
        <w:tab/>
      </w:r>
      <w:r>
        <w:rPr>
          <w:b/>
          <w:bCs/>
          <w:lang w:val="el" w:eastAsia="el"/>
        </w:rPr>
        <w:t>Ονοματεπώνυμο δικαιούχου,</w:t>
      </w:r>
    </w:p>
    <w:p>
      <w:pPr>
        <w:pStyle w:val="StructureList1"/>
        <w:spacing w:before="120" w:after="0"/>
        <w:rPr>
          <w:lang w:val="el" w:eastAsia="el"/>
        </w:rPr>
      </w:pPr>
      <w:r>
        <w:rPr>
          <w:b/>
          <w:bCs/>
          <w:lang w:val="el" w:eastAsia="el"/>
        </w:rPr>
        <w:t>ιβ)</w:t>
      </w:r>
      <w:r>
        <w:rPr>
          <w:b/>
          <w:bCs/>
          <w:lang w:val="en" w:eastAsia="en"/>
        </w:rPr>
        <w:tab/>
      </w:r>
      <w:r>
        <w:rPr>
          <w:b/>
          <w:bCs/>
          <w:lang w:val="el" w:eastAsia="el"/>
        </w:rPr>
        <w:t>Τράπεζα δικαιούχου, BIC,</w:t>
      </w:r>
    </w:p>
    <w:p>
      <w:pPr>
        <w:pStyle w:val="StructureList1"/>
        <w:spacing w:before="120" w:after="0"/>
        <w:rPr>
          <w:lang w:val="el" w:eastAsia="el"/>
        </w:rPr>
      </w:pPr>
      <w:r>
        <w:rPr>
          <w:b/>
          <w:bCs/>
          <w:lang w:val="el" w:eastAsia="el"/>
        </w:rPr>
        <w:t>ιγ)</w:t>
      </w:r>
      <w:r>
        <w:rPr>
          <w:b/>
          <w:bCs/>
          <w:lang w:val="en" w:eastAsia="en"/>
        </w:rPr>
        <w:tab/>
      </w:r>
      <w:r>
        <w:rPr>
          <w:b/>
          <w:bCs/>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4.β</w:t>
      </w:r>
      <w:r>
        <w:rPr>
          <w:b/>
          <w:bCs/>
          <w:lang w:val="el" w:eastAsia="el"/>
        </w:rPr>
        <w:t xml:space="preserve"> Αναφορικά με τις άμεσες χρεώσεις, διαβιβάζονται: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 πληρωτή / οφειλέτη ή πρώτου δικαιούχου του λογαριασμού που χρεώνεται,</w:t>
      </w:r>
    </w:p>
    <w:p>
      <w:pPr>
        <w:pStyle w:val="StructureList1"/>
        <w:spacing w:before="120" w:after="0"/>
        <w:rPr>
          <w:lang w:val="el" w:eastAsia="el"/>
        </w:rPr>
      </w:pPr>
      <w:r>
        <w:rPr>
          <w:b/>
          <w:bCs/>
          <w:lang w:val="el" w:eastAsia="el"/>
        </w:rPr>
        <w:t>γ)</w:t>
      </w:r>
      <w:r>
        <w:rPr>
          <w:b/>
          <w:bCs/>
          <w:lang w:val="en" w:eastAsia="en"/>
        </w:rPr>
        <w:tab/>
      </w:r>
      <w:r>
        <w:rPr>
          <w:b/>
          <w:bCs/>
          <w:lang w:val="el" w:eastAsia="el"/>
        </w:rPr>
        <w:t>ΑΦΜ πληρωτή ή ΑΦΜ πρώτου δικαιούχου του λογαριασμού,</w:t>
      </w:r>
    </w:p>
    <w:p>
      <w:pPr>
        <w:pStyle w:val="StructureList1"/>
        <w:spacing w:before="120" w:after="0"/>
        <w:rPr>
          <w:lang w:val="el" w:eastAsia="el"/>
        </w:rPr>
      </w:pPr>
      <w:r>
        <w:rPr>
          <w:b/>
          <w:bCs/>
          <w:lang w:val="el" w:eastAsia="el"/>
        </w:rPr>
        <w:t>δ)</w:t>
      </w:r>
      <w:r>
        <w:rPr>
          <w:b/>
          <w:bCs/>
          <w:lang w:val="en" w:eastAsia="en"/>
        </w:rPr>
        <w:tab/>
      </w:r>
      <w:r>
        <w:rPr>
          <w:b/>
          <w:bCs/>
          <w:lang w:val="el" w:eastAsia="el"/>
        </w:rPr>
        <w:t>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pStyle w:val="StructureList1"/>
        <w:spacing w:before="120" w:after="0"/>
        <w:rPr>
          <w:lang w:val="el" w:eastAsia="el"/>
        </w:rPr>
      </w:pPr>
      <w:r>
        <w:rPr>
          <w:b/>
          <w:bCs/>
          <w:lang w:val="el" w:eastAsia="el"/>
        </w:rPr>
        <w:t>ε)</w:t>
      </w:r>
      <w:r>
        <w:rPr>
          <w:b/>
          <w:bCs/>
          <w:lang w:val="en" w:eastAsia="en"/>
        </w:rPr>
        <w:tab/>
      </w:r>
      <w:r>
        <w:rPr>
          <w:b/>
          <w:bCs/>
          <w:lang w:val="el" w:eastAsia="el"/>
        </w:rPr>
        <w:t>Κωδικός νομίσματος συναλλαγής, σε ISO code 4217,</w:t>
      </w:r>
    </w:p>
    <w:p>
      <w:pPr>
        <w:pStyle w:val="StructureList1"/>
        <w:spacing w:before="120" w:after="0"/>
        <w:rPr>
          <w:lang w:val="el" w:eastAsia="el"/>
        </w:rPr>
      </w:pPr>
      <w:r>
        <w:rPr>
          <w:b/>
          <w:bCs/>
          <w:lang w:val="el" w:eastAsia="el"/>
        </w:rPr>
        <w:t>στ)</w:t>
      </w:r>
      <w:r>
        <w:rPr>
          <w:b/>
          <w:bCs/>
          <w:lang w:val="en" w:eastAsia="en"/>
        </w:rPr>
        <w:tab/>
      </w:r>
      <w:r>
        <w:rPr>
          <w:b/>
          <w:bCs/>
          <w:lang w:val="el" w:eastAsia="el"/>
        </w:rPr>
        <w:t>Ποσό συναλλαγής,</w:t>
      </w:r>
    </w:p>
    <w:p>
      <w:pPr>
        <w:pStyle w:val="StructureList1"/>
        <w:spacing w:before="120" w:after="0"/>
        <w:rPr>
          <w:lang w:val="el" w:eastAsia="el"/>
        </w:rPr>
      </w:pPr>
      <w:r>
        <w:rPr>
          <w:b/>
          <w:bCs/>
          <w:lang w:val="el" w:eastAsia="el"/>
        </w:rPr>
        <w:t>ζ)</w:t>
      </w:r>
      <w:r>
        <w:rPr>
          <w:b/>
          <w:bCs/>
          <w:lang w:val="en" w:eastAsia="en"/>
        </w:rPr>
        <w:tab/>
      </w:r>
      <w:r>
        <w:rPr>
          <w:b/>
          <w:bCs/>
          <w:lang w:val="el" w:eastAsia="el"/>
        </w:rPr>
        <w:t>Ημερομηνία συναλλαγής,</w:t>
      </w:r>
    </w:p>
    <w:p>
      <w:pPr>
        <w:pStyle w:val="StructureList1"/>
        <w:spacing w:before="120" w:after="0"/>
        <w:rPr>
          <w:lang w:val="el" w:eastAsia="el"/>
        </w:rPr>
      </w:pPr>
      <w:r>
        <w:rPr>
          <w:b/>
          <w:bCs/>
          <w:lang w:val="el" w:eastAsia="el"/>
        </w:rPr>
        <w:t>η)</w:t>
      </w:r>
      <w:r>
        <w:rPr>
          <w:b/>
          <w:bCs/>
          <w:lang w:val="en" w:eastAsia="en"/>
        </w:rPr>
        <w:tab/>
      </w:r>
      <w:r>
        <w:rPr>
          <w:b/>
          <w:bCs/>
          <w:lang w:val="el" w:eastAsia="el"/>
        </w:rPr>
        <w:t>Κωδικός χώρας προορισμού της άμεσης χρέωσης, σε ISO code 3166,</w:t>
      </w:r>
    </w:p>
    <w:p>
      <w:pPr>
        <w:pStyle w:val="StructureList1"/>
        <w:spacing w:before="120" w:after="0"/>
        <w:rPr>
          <w:lang w:val="el" w:eastAsia="el"/>
        </w:rPr>
      </w:pPr>
      <w:r>
        <w:rPr>
          <w:b/>
          <w:bCs/>
          <w:lang w:val="el" w:eastAsia="el"/>
        </w:rPr>
        <w:t>θ)</w:t>
      </w:r>
      <w:r>
        <w:rPr>
          <w:b/>
          <w:bCs/>
          <w:lang w:val="en" w:eastAsia="en"/>
        </w:rPr>
        <w:tab/>
      </w:r>
      <w:r>
        <w:rPr>
          <w:b/>
          <w:bCs/>
          <w:lang w:val="el" w:eastAsia="el"/>
        </w:rPr>
        <w:t>Επωνυμία δικαιούχου,</w:t>
      </w:r>
    </w:p>
    <w:p>
      <w:pPr>
        <w:pStyle w:val="StructureList1"/>
        <w:spacing w:before="120" w:after="0"/>
        <w:rPr>
          <w:lang w:val="el" w:eastAsia="el"/>
        </w:rPr>
      </w:pPr>
      <w:r>
        <w:rPr>
          <w:b/>
          <w:bCs/>
          <w:lang w:val="el" w:eastAsia="el"/>
        </w:rPr>
        <w:t>ι)</w:t>
      </w:r>
      <w:r>
        <w:rPr>
          <w:b/>
          <w:bCs/>
          <w:lang w:val="en" w:eastAsia="en"/>
        </w:rPr>
        <w:tab/>
      </w:r>
      <w:r>
        <w:rPr>
          <w:b/>
          <w:bCs/>
          <w:lang w:val="el" w:eastAsia="el"/>
        </w:rPr>
        <w:t>Τράπεζα δικαιούχου εξωτερικού, BIC,</w:t>
      </w:r>
    </w:p>
    <w:p>
      <w:pPr>
        <w:pStyle w:val="StructureList1"/>
        <w:spacing w:before="120" w:after="0"/>
        <w:rPr>
          <w:lang w:val="el" w:eastAsia="el"/>
        </w:rPr>
      </w:pPr>
      <w:r>
        <w:rPr>
          <w:b/>
          <w:bCs/>
          <w:lang w:val="el" w:eastAsia="el"/>
        </w:rPr>
        <w:t>ια)</w:t>
      </w:r>
      <w:r>
        <w:rPr>
          <w:b/>
          <w:bCs/>
          <w:lang w:val="en" w:eastAsia="en"/>
        </w:rPr>
        <w:tab/>
      </w:r>
      <w:r>
        <w:rPr>
          <w:b/>
          <w:bCs/>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4.γ </w:t>
      </w:r>
      <w:r>
        <w:rPr>
          <w:b/>
          <w:bCs/>
          <w:lang w:val="el" w:eastAsia="el"/>
        </w:rPr>
        <w:t>Αναφορικά με τη χρήση τραπεζικών επιταγών (εσωτερικού και εξωτερικού) για τη μεταφορά κεφαλαίων στο εξωτερικό, διαβιβάζονται: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που εκδίδει την τραπεζική επιταγή όπως ορίζεται από την Τράπεζα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Αριθμός τραπεζικής επιταγής,</w:t>
      </w:r>
    </w:p>
    <w:p>
      <w:pPr>
        <w:pStyle w:val="StructureList1"/>
        <w:spacing w:before="120" w:after="0"/>
        <w:rPr>
          <w:lang w:val="el" w:eastAsia="el"/>
        </w:rPr>
      </w:pPr>
      <w:r>
        <w:rPr>
          <w:b/>
          <w:bCs/>
          <w:lang w:val="el" w:eastAsia="el"/>
        </w:rPr>
        <w:t>γ)</w:t>
      </w:r>
      <w:r>
        <w:rPr>
          <w:b/>
          <w:bCs/>
          <w:lang w:val="en" w:eastAsia="en"/>
        </w:rPr>
        <w:tab/>
      </w:r>
      <w:r>
        <w:rPr>
          <w:b/>
          <w:bCs/>
          <w:lang w:val="el" w:eastAsia="el"/>
        </w:rPr>
        <w:t>Ημερομηνία έκδοσης της τραπεζικής επιταγής,</w:t>
      </w:r>
    </w:p>
    <w:p>
      <w:pPr>
        <w:pStyle w:val="StructureList1"/>
        <w:spacing w:before="120" w:after="0"/>
        <w:rPr>
          <w:lang w:val="el" w:eastAsia="el"/>
        </w:rPr>
      </w:pPr>
      <w:r>
        <w:rPr>
          <w:b/>
          <w:bCs/>
          <w:lang w:val="el" w:eastAsia="el"/>
        </w:rPr>
        <w:t>δ)</w:t>
      </w:r>
      <w:r>
        <w:rPr>
          <w:b/>
          <w:bCs/>
          <w:lang w:val="en" w:eastAsia="en"/>
        </w:rPr>
        <w:tab/>
      </w:r>
      <w:r>
        <w:rPr>
          <w:b/>
          <w:bCs/>
          <w:lang w:val="el" w:eastAsia="el"/>
        </w:rPr>
        <w:t>Ονοματεπώνυμο εντολέα / συναλλασσόμενου,</w:t>
      </w:r>
    </w:p>
    <w:p>
      <w:pPr>
        <w:pStyle w:val="StructureList1"/>
        <w:spacing w:before="120" w:after="0"/>
        <w:rPr>
          <w:lang w:val="el" w:eastAsia="el"/>
        </w:rPr>
      </w:pPr>
      <w:r>
        <w:rPr>
          <w:b/>
          <w:bCs/>
          <w:lang w:val="el" w:eastAsia="el"/>
        </w:rPr>
        <w:t>ε)</w:t>
      </w:r>
      <w:r>
        <w:rPr>
          <w:b/>
          <w:bCs/>
          <w:lang w:val="en" w:eastAsia="en"/>
        </w:rPr>
        <w:tab/>
      </w:r>
      <w:r>
        <w:rPr>
          <w:b/>
          <w:bCs/>
          <w:lang w:val="el" w:eastAsia="el"/>
        </w:rPr>
        <w:t>ΑΦΜ εντολέα / συναλλασσόμενου,</w:t>
      </w:r>
    </w:p>
    <w:p>
      <w:pPr>
        <w:pStyle w:val="StructureList1"/>
        <w:spacing w:before="120" w:after="0"/>
        <w:rPr>
          <w:lang w:val="el" w:eastAsia="el"/>
        </w:rPr>
      </w:pPr>
      <w:r>
        <w:rPr>
          <w:b/>
          <w:bCs/>
          <w:lang w:val="el" w:eastAsia="el"/>
        </w:rPr>
        <w:t>στ)</w:t>
      </w:r>
      <w:r>
        <w:rPr>
          <w:b/>
          <w:bCs/>
          <w:lang w:val="en" w:eastAsia="en"/>
        </w:rPr>
        <w:tab/>
      </w:r>
      <w:r>
        <w:rPr>
          <w:b/>
          <w:bCs/>
          <w:lang w:val="el" w:eastAsia="el"/>
        </w:rPr>
        <w:t>Κωδικός νομίσματος, σε ISO code 4217,</w:t>
      </w:r>
    </w:p>
    <w:p>
      <w:pPr>
        <w:pStyle w:val="StructureList1"/>
        <w:spacing w:before="120" w:after="0"/>
        <w:rPr>
          <w:lang w:val="el" w:eastAsia="el"/>
        </w:rPr>
      </w:pPr>
      <w:r>
        <w:rPr>
          <w:b/>
          <w:bCs/>
          <w:lang w:val="el" w:eastAsia="el"/>
        </w:rPr>
        <w:t>ζ)</w:t>
      </w:r>
      <w:r>
        <w:rPr>
          <w:b/>
          <w:bCs/>
          <w:lang w:val="en" w:eastAsia="en"/>
        </w:rPr>
        <w:tab/>
      </w:r>
      <w:r>
        <w:rPr>
          <w:b/>
          <w:bCs/>
          <w:lang w:val="el" w:eastAsia="el"/>
        </w:rPr>
        <w:t>Ποσό,</w:t>
      </w:r>
    </w:p>
    <w:p>
      <w:pPr>
        <w:pStyle w:val="StructureList1"/>
        <w:spacing w:before="120" w:after="0"/>
        <w:rPr>
          <w:lang w:val="el" w:eastAsia="el"/>
        </w:rPr>
      </w:pPr>
      <w:r>
        <w:rPr>
          <w:b/>
          <w:bCs/>
          <w:lang w:val="el" w:eastAsia="el"/>
        </w:rPr>
        <w:t>η)</w:t>
      </w:r>
      <w:r>
        <w:rPr>
          <w:b/>
          <w:bCs/>
          <w:lang w:val="en" w:eastAsia="en"/>
        </w:rPr>
        <w:tab/>
      </w:r>
      <w:r>
        <w:rPr>
          <w:b/>
          <w:bCs/>
          <w:lang w:val="el" w:eastAsia="el"/>
        </w:rPr>
        <w:t>Εις διαταγή,</w:t>
      </w:r>
    </w:p>
    <w:p>
      <w:pPr>
        <w:pStyle w:val="StructureList1"/>
        <w:spacing w:before="120" w:after="0"/>
        <w:rPr>
          <w:lang w:val="el" w:eastAsia="el"/>
        </w:rPr>
      </w:pPr>
      <w:r>
        <w:rPr>
          <w:b/>
          <w:bCs/>
          <w:lang w:val="el" w:eastAsia="el"/>
        </w:rPr>
        <w:t>θ)</w:t>
      </w:r>
      <w:r>
        <w:rPr>
          <w:b/>
          <w:bCs/>
          <w:lang w:val="en" w:eastAsia="en"/>
        </w:rPr>
        <w:tab/>
      </w:r>
      <w:r>
        <w:rPr>
          <w:b/>
          <w:bCs/>
          <w:lang w:val="el" w:eastAsia="el"/>
        </w:rPr>
        <w:t>Είδος συναλλαγής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4.δ </w:t>
      </w:r>
      <w:r>
        <w:rPr>
          <w:b/>
          <w:bCs/>
          <w:lang w:val="el" w:eastAsia="el"/>
        </w:rPr>
        <w:t>Αναφορικά με συναλλαγές καρτών πληρωμής (χρεωστικών, πιστωτικών, προπληρωμένων κ.λπ.) που πραγματοποιούνται σε συμβεβλημένες με τις τράπεζες επιχειρήσεις, διαβιβάζονται: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ΑΦΜ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Επωνυμία επιχείρησης,</w:t>
      </w:r>
    </w:p>
    <w:p>
      <w:pPr>
        <w:pStyle w:val="StructureList1"/>
        <w:spacing w:before="120" w:after="0"/>
        <w:rPr>
          <w:lang w:val="el" w:eastAsia="el"/>
        </w:rPr>
      </w:pPr>
      <w:r>
        <w:rPr>
          <w:b/>
          <w:bCs/>
          <w:lang w:val="el" w:eastAsia="el"/>
        </w:rPr>
        <w:t>δ)</w:t>
      </w:r>
      <w:r>
        <w:rPr>
          <w:b/>
          <w:bCs/>
          <w:lang w:val="en" w:eastAsia="en"/>
        </w:rPr>
        <w:tab/>
      </w:r>
      <w:r>
        <w:rPr>
          <w:b/>
          <w:bCs/>
          <w:lang w:val="el" w:eastAsia="el"/>
        </w:rPr>
        <w:t>Διακριτικός τίτλος επιχείρησης,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Πλήθος συναλλαγών καρτών για την περίοδο αναφοράς, βάσει της ημερομηνίας επεξεργασίας της συναλλαγής από την τράπεζα,</w:t>
      </w:r>
    </w:p>
    <w:p>
      <w:pPr>
        <w:pStyle w:val="StructureList1"/>
        <w:spacing w:before="120" w:after="0"/>
        <w:rPr>
          <w:lang w:val="el" w:eastAsia="el"/>
        </w:rPr>
      </w:pPr>
      <w:r>
        <w:rPr>
          <w:b/>
          <w:bCs/>
          <w:lang w:val="el" w:eastAsia="el"/>
        </w:rPr>
        <w:t>στ)</w:t>
      </w:r>
      <w:r>
        <w:rPr>
          <w:b/>
          <w:bCs/>
          <w:lang w:val="en" w:eastAsia="en"/>
        </w:rPr>
        <w:tab/>
      </w:r>
      <w:r>
        <w:rPr>
          <w:b/>
          <w:bCs/>
          <w:lang w:val="el" w:eastAsia="el"/>
        </w:rPr>
        <w:t>Αξία συναλλαγών καρτών σε ευρώ για την περίοδο αναφοράς, βάσει της ημερομηνίας επεξεργασίας της συναλλαγής από την τράπεζα.</w:t>
      </w:r>
    </w:p>
    <w:p>
      <w:pPr>
        <w:spacing w:before="240" w:after="240"/>
        <w:rPr>
          <w:lang w:val="el" w:eastAsia="el"/>
        </w:rPr>
      </w:pPr>
      <w:r>
        <w:rPr>
          <w:b/>
          <w:bCs/>
          <w:lang w:val="el" w:eastAsia="el"/>
        </w:rPr>
        <w:t>Στο πλήθος των συναλλαγών του στοιχείου (ε) προσμετρώνται οι συναλλαγές αγορών και επιστροφών (ακυρώσεων).</w:t>
      </w:r>
    </w:p>
    <w:p>
      <w:pPr>
        <w:spacing w:before="240" w:after="240"/>
        <w:rPr>
          <w:lang w:val="el" w:eastAsia="el"/>
        </w:rPr>
      </w:pPr>
      <w:r>
        <w:rPr>
          <w:b/>
          <w:bCs/>
          <w:lang w:val="el" w:eastAsia="el"/>
        </w:rPr>
        <w:t>Στην αξία των συναλλαγών του στοιχείου (στ) αφαιρούνται τα ποσά των επιστροφών / ακυρώσεων από τα ποσά των αγορών (net balance). Διευκρινίζεται ότι, στην αξία των συναλλαγών πρέπει να καταγράφεται και το σύνολο του ποσού της αγοράς σε περιπτώσεις δόσεων (και όχι το ποσό της δόσης).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Η διαβίβαση των στοιχείων της παρ. 1.4. θα γίνεται απευθείας στη Γ.Γ.Δ.Ε. μέσω διαδικτυακής εφαρμογής ασφαλούς συστήματος μεταφόρτωσης αρχείου. Ειδικά για τα τραπεζικά και χρηματοδοτικά ιδρύματα θα γίνεται μέσω της «Διατραπεζικά Συστήματα Α.Ε.» (ΔΙΑΣ), ενώ η συχνότητα διαβίβασης των στοιχείων είναι μηνιαία και πρέπει να γίνεται έως την 20η ημέρα του επόμενου μήνα από το μήνα αναφοράς. Οι προδιαγραφές του αρχείου και ο τρόπος διαβίβασής του, θα αναρτηθούν έγκαιρα στην ιστοσελίδα της Γ.Γ.Δ.Ε.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6</w:t>
      </w:r>
      <w:r>
        <w:rPr>
          <w:b/>
          <w:bCs/>
          <w:lang w:val="el" w:eastAsia="el"/>
        </w:rPr>
        <w:t>. Τα πιστωτικά ιδρύματα, συμπεριλαμβανομένων και των υποκαταστημάτων αλλοδαπών πιστωτικών ιδρυμάτων που λειτουργούν στην Ελλάδα, υποχρεούνται να διαβιβάζουν στη Γ.Γ.Δ.Ε. του Υπουργείου Οικονομικών αρχεία για τις παρακάτω ομάδες πελατών τους που ανήκουν στην κατηγορία «υψηλού κινδύνου»:</w:t>
      </w:r>
    </w:p>
    <w:p>
      <w:pPr>
        <w:pStyle w:val="StructureList1"/>
        <w:spacing w:before="120" w:after="0"/>
        <w:rPr>
          <w:lang w:val="el" w:eastAsia="el"/>
        </w:rPr>
      </w:pPr>
      <w:r>
        <w:rPr>
          <w:b/>
          <w:bCs/>
          <w:lang w:val="el" w:eastAsia="el"/>
        </w:rPr>
        <w:t>α)</w:t>
      </w:r>
      <w:r>
        <w:rPr>
          <w:b/>
          <w:bCs/>
          <w:lang w:val="en" w:eastAsia="en"/>
        </w:rPr>
        <w:tab/>
      </w:r>
      <w:r>
        <w:rPr>
          <w:b/>
          <w:bCs/>
          <w:lang w:val="el" w:eastAsia="el"/>
        </w:rPr>
        <w:t>ελεύθεροι επαγγελματίες, που διατηρούν ή είναι πραγματικοί δικαιούχοι λογαριασμών, στους οποίους πιστώθηκαν κατά το προηγούμενο ημερολογιακό έτος ποσά συνολικών εισοδημάτων τους άνω του εκάστοτε ορίου που τίθεται με την απόφαση αριθ. 281/5/17.3.2009 (ΦΕΚ 650/Β'/9-4-2009) της Επιτροπής Τραπεζικών και Πιστωτικών Θεμάτων της Τράπεζας της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νομικά πρόσωπα, στους λογαριασμούς των οποίων οι συνολικές καταθέσεις ή αναλήψεις μετρητών κατά το προηγούμενο ημερολογιακό έτος υπερέβησαν το εκάστοτε όριο του ποσού που τίθεται με την απόφαση αριθ. 281/5/17.3.2009 (ΦΕΚ 650/Β'/9-4-2009) της Επιτροπής Τραπεζικών και Πιστωτικών Θεμάτων της Τράπεζας της Ελλάδος.</w:t>
      </w:r>
    </w:p>
    <w:p>
      <w:pPr>
        <w:spacing w:before="240" w:after="240"/>
        <w:rPr>
          <w:lang w:val="el" w:eastAsia="el"/>
        </w:rPr>
      </w:pPr>
      <w:r>
        <w:rPr>
          <w:b/>
          <w:bCs/>
          <w:lang w:val="el" w:eastAsia="el"/>
        </w:rPr>
        <w:t>Αναφορικά με τις παραπάνω πληροφορίες, διαβιβάζονται ειδικότερα τα πιο κάτω στοιχεία:</w:t>
      </w:r>
    </w:p>
    <w:p>
      <w:pPr>
        <w:spacing w:before="240" w:after="240"/>
        <w:rPr>
          <w:lang w:val="el" w:eastAsia="el"/>
        </w:rPr>
      </w:pPr>
      <w:r>
        <w:rPr>
          <w:b/>
          <w:bCs/>
          <w:lang w:val="el" w:eastAsia="el"/>
        </w:rPr>
        <w:t>Ελεύθεροι επαγγελματίες:</w:t>
      </w:r>
    </w:p>
    <w:p>
      <w:pPr>
        <w:spacing w:before="240" w:after="240"/>
        <w:rPr>
          <w:lang w:val="el" w:eastAsia="el"/>
        </w:rPr>
      </w:pPr>
      <w:r>
        <w:rPr>
          <w:b/>
          <w:bCs/>
          <w:lang w:val="el" w:eastAsia="el"/>
        </w:rPr>
        <w:t>1) Α.Φ.Μ.</w:t>
      </w:r>
    </w:p>
    <w:p>
      <w:pPr>
        <w:spacing w:before="240" w:after="240"/>
        <w:rPr>
          <w:lang w:val="el" w:eastAsia="el"/>
        </w:rPr>
      </w:pPr>
      <w:r>
        <w:rPr>
          <w:b/>
          <w:bCs/>
          <w:lang w:val="el" w:eastAsia="el"/>
        </w:rPr>
        <w:t>2) Δ.Ο.Υ. στην οποία υπάγεται</w:t>
      </w:r>
    </w:p>
    <w:p>
      <w:pPr>
        <w:spacing w:before="240" w:after="240"/>
        <w:rPr>
          <w:lang w:val="el" w:eastAsia="el"/>
        </w:rPr>
      </w:pPr>
      <w:r>
        <w:rPr>
          <w:b/>
          <w:bCs/>
          <w:lang w:val="el" w:eastAsia="el"/>
        </w:rPr>
        <w:t>3) Επώνυμο</w:t>
      </w:r>
    </w:p>
    <w:p>
      <w:pPr>
        <w:spacing w:before="240" w:after="240"/>
        <w:rPr>
          <w:lang w:val="el" w:eastAsia="el"/>
        </w:rPr>
      </w:pPr>
      <w:r>
        <w:rPr>
          <w:b/>
          <w:bCs/>
          <w:lang w:val="el" w:eastAsia="el"/>
        </w:rPr>
        <w:t>4) Όνομα</w:t>
      </w:r>
    </w:p>
    <w:p>
      <w:pPr>
        <w:spacing w:before="240" w:after="240"/>
        <w:rPr>
          <w:lang w:val="el" w:eastAsia="el"/>
        </w:rPr>
      </w:pPr>
      <w:r>
        <w:rPr>
          <w:b/>
          <w:bCs/>
          <w:lang w:val="el" w:eastAsia="el"/>
        </w:rPr>
        <w:t>5) Πατρώνυμο</w:t>
      </w:r>
    </w:p>
    <w:p>
      <w:pPr>
        <w:spacing w:before="240" w:after="240"/>
        <w:rPr>
          <w:lang w:val="el" w:eastAsia="el"/>
        </w:rPr>
      </w:pPr>
      <w:r>
        <w:rPr>
          <w:b/>
          <w:bCs/>
          <w:lang w:val="el" w:eastAsia="el"/>
        </w:rPr>
        <w:t>6) Ημερομηνία Γέννησης (εφόσον υπάρχει στο μηχανογραφικό σύστημα του ιδρύματος)</w:t>
      </w:r>
    </w:p>
    <w:p>
      <w:pPr>
        <w:spacing w:before="240" w:after="240"/>
        <w:rPr>
          <w:lang w:val="el" w:eastAsia="el"/>
        </w:rPr>
      </w:pPr>
      <w:r>
        <w:rPr>
          <w:b/>
          <w:bCs/>
          <w:lang w:val="el" w:eastAsia="el"/>
        </w:rPr>
        <w:t>7) Υπηκοότητα</w:t>
      </w:r>
    </w:p>
    <w:p>
      <w:pPr>
        <w:spacing w:before="240" w:after="240"/>
        <w:rPr>
          <w:lang w:val="el" w:eastAsia="el"/>
        </w:rPr>
      </w:pPr>
      <w:r>
        <w:rPr>
          <w:b/>
          <w:bCs/>
          <w:lang w:val="el" w:eastAsia="el"/>
        </w:rPr>
        <w:t>8) Είδος πιστοποιητικού (Αρ. Δελτίου ταυτότητας, Αρ. Διαβατηρίου - εφόσον υπάρχει στο μηχανογραφικό σύστημα του ιδρύματος)</w:t>
      </w:r>
    </w:p>
    <w:p>
      <w:pPr>
        <w:spacing w:before="240" w:after="240"/>
        <w:rPr>
          <w:lang w:val="el" w:eastAsia="el"/>
        </w:rPr>
      </w:pPr>
      <w:r>
        <w:rPr>
          <w:b/>
          <w:bCs/>
          <w:lang w:val="el" w:eastAsia="el"/>
        </w:rPr>
        <w:t>9) Επαγγελματική δραστηριότητα</w:t>
      </w:r>
    </w:p>
    <w:p>
      <w:pPr>
        <w:spacing w:before="240" w:after="240"/>
        <w:rPr>
          <w:lang w:val="el" w:eastAsia="el"/>
        </w:rPr>
      </w:pPr>
      <w:r>
        <w:rPr>
          <w:b/>
          <w:bCs/>
          <w:lang w:val="el" w:eastAsia="el"/>
        </w:rPr>
        <w:t>10) Διεύθυνση</w:t>
      </w:r>
    </w:p>
    <w:p>
      <w:pPr>
        <w:spacing w:before="240" w:after="240"/>
        <w:rPr>
          <w:lang w:val="el" w:eastAsia="el"/>
        </w:rPr>
      </w:pPr>
      <w:r>
        <w:rPr>
          <w:b/>
          <w:bCs/>
          <w:lang w:val="el" w:eastAsia="el"/>
        </w:rPr>
        <w:t>11) Τηλέφωνο (εφόσον υπάρχει στο μηχανογραφικό σύστημα του ιδρύματος)</w:t>
      </w:r>
    </w:p>
    <w:p>
      <w:pPr>
        <w:spacing w:before="240" w:after="240"/>
        <w:rPr>
          <w:lang w:val="el" w:eastAsia="el"/>
        </w:rPr>
      </w:pPr>
      <w:r>
        <w:rPr>
          <w:b/>
          <w:bCs/>
          <w:lang w:val="el" w:eastAsia="el"/>
        </w:rPr>
        <w:t>12) Λογαριασμοί πελάτη (όλοι οι λογαριασμοί που διατηρεί ή συμμετέχει στο ίδρυμα)</w:t>
      </w:r>
    </w:p>
    <w:p>
      <w:pPr>
        <w:spacing w:before="240" w:after="240"/>
        <w:rPr>
          <w:lang w:val="el" w:eastAsia="el"/>
        </w:rPr>
      </w:pPr>
      <w:r>
        <w:rPr>
          <w:b/>
          <w:bCs/>
          <w:lang w:val="el" w:eastAsia="el"/>
        </w:rPr>
        <w:t>13) Ονοματεπώνυμο συνδικαιούχων (εφόσον υπάρχουν συνδικαιούχοι στο λογ/σμό, αναφέρονται με τη σειρά αποτύπωσής τους στο μηχανογραφικό σύστημα του ιδρύματος)</w:t>
      </w:r>
    </w:p>
    <w:p>
      <w:pPr>
        <w:spacing w:before="240" w:after="240"/>
        <w:rPr>
          <w:lang w:val="el" w:eastAsia="el"/>
        </w:rPr>
      </w:pPr>
      <w:r>
        <w:rPr>
          <w:b/>
          <w:bCs/>
          <w:lang w:val="el" w:eastAsia="el"/>
        </w:rPr>
        <w:t>14) Α.Φ.Μ. συνδικαιούχων (εφόσον υπάρχουν, αναφέρονται με τη σειρά αποτύπωσης τους στο μηχανογραφικό σύστημα του ιδρύματος)</w:t>
      </w:r>
    </w:p>
    <w:p>
      <w:pPr>
        <w:spacing w:before="240" w:after="240"/>
        <w:rPr>
          <w:lang w:val="el" w:eastAsia="el"/>
        </w:rPr>
      </w:pPr>
      <w:r>
        <w:rPr>
          <w:b/>
          <w:bCs/>
          <w:lang w:val="el" w:eastAsia="el"/>
        </w:rPr>
        <w:t>15) Συνολικό Υπόλοιπο λογαριασμών πελάτη κατά την 1/1 εκάστου έτους</w:t>
      </w:r>
    </w:p>
    <w:p>
      <w:pPr>
        <w:spacing w:before="240" w:after="240"/>
        <w:rPr>
          <w:lang w:val="el" w:eastAsia="el"/>
        </w:rPr>
      </w:pPr>
      <w:r>
        <w:rPr>
          <w:b/>
          <w:bCs/>
          <w:lang w:val="el" w:eastAsia="el"/>
        </w:rPr>
        <w:t>16) Πιστώσεις εκάστου έτους στο σύνολο των λογαριασμών του πελάτη (περιλαμβάνονται τα εμβάσματα από άλλες τράπεζες και οι καταθέσεις μετρητών και επιταγών ενώ εξαιρούνται οι ανανεώσεις προθεσμιακών λογαριασμών και οι μεταφορές ποσών μεταξύ λογαριασμών του πελάτη στην ίδια τράπεζα)</w:t>
      </w:r>
    </w:p>
    <w:p>
      <w:pPr>
        <w:spacing w:before="240" w:after="240"/>
        <w:rPr>
          <w:lang w:val="el" w:eastAsia="el"/>
        </w:rPr>
      </w:pPr>
      <w:r>
        <w:rPr>
          <w:b/>
          <w:bCs/>
          <w:lang w:val="el" w:eastAsia="el"/>
        </w:rPr>
        <w:t>17) Συνολικό Υπόλοιπο λογαριασμών του πελάτη την 31/12 εκάστου έτους</w:t>
      </w:r>
    </w:p>
    <w:p>
      <w:pPr>
        <w:spacing w:before="240" w:after="240"/>
        <w:rPr>
          <w:lang w:val="el" w:eastAsia="el"/>
        </w:rPr>
      </w:pPr>
      <w:r>
        <w:rPr>
          <w:b/>
          <w:bCs/>
          <w:lang w:val="el" w:eastAsia="el"/>
        </w:rPr>
        <w:t>Νομικά Πρόσωπα:</w:t>
      </w:r>
    </w:p>
    <w:p>
      <w:pPr>
        <w:spacing w:before="240" w:after="240"/>
        <w:rPr>
          <w:lang w:val="el" w:eastAsia="el"/>
        </w:rPr>
      </w:pPr>
      <w:r>
        <w:rPr>
          <w:b/>
          <w:bCs/>
          <w:lang w:val="el" w:eastAsia="el"/>
        </w:rPr>
        <w:t>1) Α.Φ.Μ.</w:t>
      </w:r>
    </w:p>
    <w:p>
      <w:pPr>
        <w:spacing w:before="240" w:after="240"/>
        <w:rPr>
          <w:lang w:val="el" w:eastAsia="el"/>
        </w:rPr>
      </w:pPr>
      <w:r>
        <w:rPr>
          <w:b/>
          <w:bCs/>
          <w:lang w:val="el" w:eastAsia="el"/>
        </w:rPr>
        <w:t>2) Δ.Ο.Υ. στην οποία υπάγεται</w:t>
      </w:r>
    </w:p>
    <w:p>
      <w:pPr>
        <w:spacing w:before="240" w:after="240"/>
        <w:rPr>
          <w:lang w:val="el" w:eastAsia="el"/>
        </w:rPr>
      </w:pPr>
      <w:r>
        <w:rPr>
          <w:b/>
          <w:bCs/>
          <w:lang w:val="el" w:eastAsia="el"/>
        </w:rPr>
        <w:t>3) Επωνυμία</w:t>
      </w:r>
    </w:p>
    <w:p>
      <w:pPr>
        <w:spacing w:before="240" w:after="240"/>
        <w:rPr>
          <w:lang w:val="el" w:eastAsia="el"/>
        </w:rPr>
      </w:pPr>
      <w:r>
        <w:rPr>
          <w:b/>
          <w:bCs/>
          <w:lang w:val="el" w:eastAsia="el"/>
        </w:rPr>
        <w:t>4) Διεύθυνση</w:t>
      </w:r>
    </w:p>
    <w:p>
      <w:pPr>
        <w:spacing w:before="240" w:after="240"/>
        <w:rPr>
          <w:lang w:val="el" w:eastAsia="el"/>
        </w:rPr>
      </w:pPr>
      <w:r>
        <w:rPr>
          <w:b/>
          <w:bCs/>
          <w:lang w:val="el" w:eastAsia="el"/>
        </w:rPr>
        <w:t>5) Νομική Μορφή</w:t>
      </w:r>
    </w:p>
    <w:p>
      <w:pPr>
        <w:spacing w:before="240" w:after="240"/>
        <w:rPr>
          <w:lang w:val="el" w:eastAsia="el"/>
        </w:rPr>
      </w:pPr>
      <w:r>
        <w:rPr>
          <w:b/>
          <w:bCs/>
          <w:lang w:val="el" w:eastAsia="el"/>
        </w:rPr>
        <w:t>6) Αντικείμενο Δραστηριότητας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7) Λογαριασμοί πελάτη (όλοι οι λογαριασμοί που διατηρεί ή στους οποίους συμμετέχει στο ίδρυμα)</w:t>
      </w:r>
    </w:p>
    <w:p>
      <w:pPr>
        <w:spacing w:before="240" w:after="240"/>
        <w:rPr>
          <w:lang w:val="el" w:eastAsia="el"/>
        </w:rPr>
      </w:pPr>
      <w:r>
        <w:rPr>
          <w:b/>
          <w:bCs/>
          <w:lang w:val="el" w:eastAsia="el"/>
        </w:rPr>
        <w:t>8) Συνολικές καταθέσεις μετρητών εκάστου έτους, στο σύνολο των λογαριασμών του πελάτη (εξαιρούνται καταθέσεις μετρητών μεταξύ λογαριασμών του πελάτη στην ίδια τράπεζα)</w:t>
      </w:r>
    </w:p>
    <w:p>
      <w:pPr>
        <w:spacing w:before="240" w:after="240"/>
        <w:rPr>
          <w:lang w:val="el" w:eastAsia="el"/>
        </w:rPr>
      </w:pPr>
      <w:r>
        <w:rPr>
          <w:b/>
          <w:bCs/>
          <w:lang w:val="el" w:eastAsia="el"/>
        </w:rPr>
        <w:t>9) Συνολικές αναλήψεις μετρητών εκάστου έτους, στο σύνολο των λογαριασμών του πελάτη (εξαιρούνται αναλήψεις μετρητών μεταξύ λογαριασμών του πελάτη στην ίδια τράπεζα)</w:t>
      </w:r>
    </w:p>
    <w:p>
      <w:pPr>
        <w:spacing w:before="240" w:after="240"/>
        <w:rPr>
          <w:lang w:val="el" w:eastAsia="el"/>
        </w:rPr>
      </w:pPr>
      <w:r>
        <w:rPr>
          <w:b/>
          <w:bCs/>
          <w:lang w:val="el" w:eastAsia="el"/>
        </w:rPr>
        <w:t>10) Συνολικό Υπόλοιπο λογαριασμών πελάτη κατά την 1/1 εκάστου έτους</w:t>
      </w:r>
    </w:p>
    <w:p>
      <w:pPr>
        <w:spacing w:before="240" w:after="240"/>
        <w:rPr>
          <w:lang w:val="el" w:eastAsia="el"/>
        </w:rPr>
      </w:pPr>
      <w:r>
        <w:rPr>
          <w:b/>
          <w:bCs/>
          <w:lang w:val="el" w:eastAsia="el"/>
        </w:rPr>
        <w:t>11) Συνολικό Υπόλοιπο λογαριασμών του πελάτη την 31/12 εκάστου έτους</w:t>
      </w:r>
    </w:p>
    <w:p>
      <w:pPr>
        <w:spacing w:before="240" w:after="240"/>
        <w:rPr>
          <w:lang w:val="el" w:eastAsia="el"/>
        </w:rPr>
      </w:pPr>
      <w:r>
        <w:rPr>
          <w:b/>
          <w:bCs/>
          <w:lang w:val="el" w:eastAsia="el"/>
        </w:rPr>
        <w:t>12) Πιστώσεις εκάστου έτους στο σύνολο των λογαριασμών του πελάτη (περιλαμβάνονται τα εμβάσματα από άλλες τράπεζες και οι καταθέσεις μετρητών και επιταγών ενώ εξαιρούνται οι ανανεώσεις προθεσμιακών λογαριασμών και οι μεταφορές ποσών μεταξύ λογαριασμών του πελάτη στην ίδια τράπεζα)</w:t>
      </w:r>
    </w:p>
    <w:p>
      <w:pPr>
        <w:pStyle w:val="MainText"/>
        <w:spacing w:before="120" w:after="0"/>
        <w:rPr>
          <w:lang w:val="el" w:eastAsia="el"/>
        </w:rPr>
      </w:pPr>
      <w:r>
        <w:rPr>
          <w:b/>
          <w:bCs/>
          <w:lang w:val="el" w:eastAsia="el"/>
        </w:rPr>
        <w:t>1.7.</w:t>
      </w:r>
      <w:r>
        <w:rPr>
          <w:b/>
          <w:bCs/>
          <w:lang w:val="el" w:eastAsia="el"/>
        </w:rPr>
        <w:t xml:space="preserve"> Η διαβίβαση των στοιχείων της παρ. 1.6. θα γίνεται απευθείας στη Γ.Γ.Δ.Ε. μέσω διαδικτυακής εφαρμογής ασφαλούς συστήματος μεταφόρτωσης αρχείου.</w:t>
      </w:r>
    </w:p>
    <w:p>
      <w:pPr>
        <w:spacing w:before="240" w:after="240"/>
        <w:rPr>
          <w:lang w:val="el" w:eastAsia="el"/>
        </w:rPr>
      </w:pPr>
      <w:r>
        <w:rPr>
          <w:b/>
          <w:bCs/>
          <w:lang w:val="el" w:eastAsia="el"/>
        </w:rPr>
        <w:t>Η συχνότητα διαβίβασης των στοιχείων αυτών είναι ετήσια και ως καταληκτική ημερομηνία ορίζεται η 30η Απριλίου του επόμενου έτους του έτους αναφοράς. Οι προδιαγραφές του αρχείου και ο τρόπος διαβίβασής του, θα αναρτηθούν έγκαιρα στην ιστοσελίδα της Γ.Γ.Δ.Ε.</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Πληροφορίες από επιχειρήσεις ιδιωτικής ασφάλισης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1.</w:t>
      </w:r>
      <w:r>
        <w:rPr>
          <w:b/>
          <w:bCs/>
          <w:lang w:val="el" w:eastAsia="el"/>
        </w:rPr>
        <w:t xml:space="preserve"> Οι επιχειρήσεις ιδιωτικής ασφάλισης διαβιβάζουν στη Γενική Γραμματεία Δημοσίων Εσόδων του Υπουργείου Οικονομικών, στη Δ/νση Ηλεκτρονικής Διακυβέρνησης Γ.Γ.Δ.Ε., σε ηλεκτρονική κατάσταση, στοιχεία των ασφαλιστικών συμβολαίων ζωής, θανάτου, προσωπικών ατυχημάτων και ασθενείας που συνάφθηκαν.</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Τα στοιχεία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ΑΦΜ υπόχρεου,</w:t>
      </w:r>
    </w:p>
    <w:p>
      <w:pPr>
        <w:pStyle w:val="StructureList1"/>
        <w:spacing w:before="120" w:after="0"/>
        <w:rPr>
          <w:lang w:val="el" w:eastAsia="el"/>
        </w:rPr>
      </w:pPr>
      <w:r>
        <w:rPr>
          <w:b/>
          <w:bCs/>
          <w:lang w:val="el" w:eastAsia="el"/>
        </w:rPr>
        <w:t>β)</w:t>
      </w:r>
      <w:r>
        <w:rPr>
          <w:b/>
          <w:bCs/>
          <w:lang w:val="en" w:eastAsia="en"/>
        </w:rPr>
        <w:tab/>
      </w:r>
      <w:r>
        <w:rPr>
          <w:b/>
          <w:bCs/>
          <w:lang w:val="el" w:eastAsia="el"/>
        </w:rPr>
        <w:t>Αριθμός συμβολαίου,</w:t>
      </w:r>
    </w:p>
    <w:p>
      <w:pPr>
        <w:pStyle w:val="StructureList1"/>
        <w:spacing w:before="120" w:after="0"/>
        <w:rPr>
          <w:lang w:val="el" w:eastAsia="el"/>
        </w:rPr>
      </w:pPr>
      <w:r>
        <w:rPr>
          <w:b/>
          <w:bCs/>
          <w:lang w:val="el" w:eastAsia="el"/>
        </w:rPr>
        <w:t>γ)</w:t>
      </w:r>
      <w:r>
        <w:rPr>
          <w:b/>
          <w:bCs/>
          <w:lang w:val="en" w:eastAsia="en"/>
        </w:rPr>
        <w:tab/>
      </w:r>
      <w:r>
        <w:rPr>
          <w:b/>
          <w:bCs/>
          <w:lang w:val="el" w:eastAsia="el"/>
        </w:rPr>
        <w:t>Ποσό ασφαλίστρων που κατέβαλε ο υπόχρεος,</w:t>
      </w:r>
    </w:p>
    <w:p>
      <w:pPr>
        <w:pStyle w:val="StructureList1"/>
        <w:spacing w:before="120" w:after="0"/>
        <w:rPr>
          <w:lang w:val="el" w:eastAsia="el"/>
        </w:rPr>
      </w:pPr>
      <w:r>
        <w:rPr>
          <w:b/>
          <w:bCs/>
          <w:lang w:val="el" w:eastAsia="el"/>
        </w:rPr>
        <w:t>δ)</w:t>
      </w:r>
      <w:r>
        <w:rPr>
          <w:b/>
          <w:bCs/>
          <w:lang w:val="en" w:eastAsia="en"/>
        </w:rPr>
        <w:tab/>
      </w:r>
      <w:r>
        <w:rPr>
          <w:b/>
          <w:bCs/>
          <w:lang w:val="el" w:eastAsia="el"/>
        </w:rPr>
        <w:t>Ημερολογιακό έτος είσπραξης.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2.</w:t>
      </w:r>
      <w:r>
        <w:rPr>
          <w:b/>
          <w:bCs/>
          <w:lang w:val="el" w:eastAsia="el"/>
        </w:rPr>
        <w:t xml:space="preserve"> Οι επιχειρήσεις ιδιωτικής ασφάλισης διαβιβάζουν επίσης στη Γενική Γραμματεία Δημοσίων Εσόδων του Υπουργείου Οικονομικών, στην Δ/νση Ηλεκτρονικής Διακυβέρνησης (e-Εφαρμογές), σε ηλεκτρονική κατάσταση στοιχεία που αφορούν σε αποζημιώσεις που καταβάλλουν, βάσει δικαστικής απόφασης σε δικαιούχους, λόγω ανικανότητας για εργασία αιτία ατυχήματος για την απώλεια του εισοδήματος.</w:t>
      </w:r>
    </w:p>
    <w:p>
      <w:pPr>
        <w:spacing w:before="240" w:after="240"/>
        <w:rPr>
          <w:lang w:val="el" w:eastAsia="el"/>
        </w:rPr>
      </w:pPr>
      <w:r>
        <w:rPr>
          <w:b/>
          <w:bCs/>
          <w:lang w:val="el" w:eastAsia="el"/>
        </w:rPr>
        <w:t>Τα στοιχεία που διαβιβάζονται είναι τα ακόλουθα:</w:t>
      </w:r>
    </w:p>
    <w:p>
      <w:pPr>
        <w:spacing w:before="240" w:after="240"/>
        <w:rPr>
          <w:lang w:val="el" w:eastAsia="el"/>
        </w:rPr>
      </w:pPr>
      <w:r>
        <w:rPr>
          <w:b/>
          <w:bCs/>
          <w:lang w:val="el" w:eastAsia="el"/>
        </w:rPr>
        <w:t>α). Ονοματεπώνυμο δικαιούχου</w:t>
      </w:r>
    </w:p>
    <w:p>
      <w:pPr>
        <w:spacing w:before="240" w:after="240"/>
        <w:rPr>
          <w:lang w:val="el" w:eastAsia="el"/>
        </w:rPr>
      </w:pPr>
      <w:r>
        <w:rPr>
          <w:b/>
          <w:bCs/>
          <w:lang w:val="el" w:eastAsia="el"/>
        </w:rPr>
        <w:t>β). Α.Φ.Μ δικαιούχου</w:t>
      </w:r>
    </w:p>
    <w:p>
      <w:pPr>
        <w:spacing w:before="240" w:after="240"/>
        <w:rPr>
          <w:lang w:val="el" w:eastAsia="el"/>
        </w:rPr>
      </w:pPr>
      <w:r>
        <w:rPr>
          <w:b/>
          <w:bCs/>
          <w:lang w:val="el" w:eastAsia="el"/>
        </w:rPr>
        <w:t>γ). Ποσό αποζημίωσης</w:t>
      </w:r>
    </w:p>
    <w:p>
      <w:pPr>
        <w:spacing w:before="240" w:after="240"/>
        <w:rPr>
          <w:lang w:val="el" w:eastAsia="el"/>
        </w:rPr>
      </w:pPr>
      <w:r>
        <w:rPr>
          <w:b/>
          <w:bCs/>
          <w:lang w:val="el" w:eastAsia="el"/>
        </w:rPr>
        <w:t>δ). Αριθμός δικαστικής απόφασης</w:t>
      </w:r>
    </w:p>
    <w:p>
      <w:pPr>
        <w:pStyle w:val="StructureList1"/>
        <w:spacing w:before="120" w:after="0"/>
        <w:rPr>
          <w:lang w:val="el" w:eastAsia="el"/>
        </w:rPr>
      </w:pPr>
      <w:r>
        <w:rPr>
          <w:b/>
          <w:bCs/>
          <w:lang w:val="el" w:eastAsia="el"/>
        </w:rPr>
        <w:t>ε)</w:t>
      </w:r>
      <w:r>
        <w:rPr>
          <w:b/>
          <w:bCs/>
          <w:lang w:val="en" w:eastAsia="en"/>
        </w:rPr>
        <w:tab/>
      </w:r>
      <w:r>
        <w:rPr>
          <w:b/>
          <w:bCs/>
          <w:lang w:val="el" w:eastAsia="el"/>
        </w:rPr>
        <w:t>Ημερολογιακό έτος είσπραξης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Η διαβίβαση των στοιχείων των παρ. 2.1 και 2.2 θα γίνεται απευθείας στην ΑΑΔΕ μέσω διαδικτυακής εφαρμογής ασφαλούς συστήματος μεταφόρτωσης αρχείου. Οι προδιαγραφές του αρχείου και ο τρόπος διαβίβασης του, θα αναρτηθούν έγκαιρα στην ιστοσελίδα της ΑΑΔΕ.</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28η Φεβρουαρίου του επόμενου έτους του έτους αναφοράς. Ειδικά για στοιχεία της παρ. 2.2 που αφορούν την χρήση 2013, ορίζεται ως καταληκτική ημερομηνία η 14η Μαρτίου 2014.</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w:t>
      </w:r>
      <w:r>
        <w:rPr>
          <w:b/>
          <w:bCs/>
          <w:lang w:val="el" w:eastAsia="el"/>
        </w:rPr>
        <w:t>4.</w:t>
      </w:r>
      <w:r>
        <w:rPr>
          <w:b/>
          <w:bCs/>
          <w:lang w:val="el" w:eastAsia="el"/>
        </w:rPr>
        <w:t xml:space="preserve"> Οι επιχειρήσεις ιδιωτικής ασφάλισης διαβιβάζουν επίσης στη Γενική Διεύθυνση Ηλεκτρονικής Διακυβέρνησης της ΑΑΔΕ σε ηλεκτρονική κατάσταση, στοιχεία των ασφαλιστηρίων συμβολαίων κατοικίας φυσικών προσώπων που καλύπτουν τους ασφαλιστικούς κινδύνους σεισμού, πυρκαγιάς και πλημμύρας και τα οποία είναι σε ισχύ εντός του έτους αναφοράς καθώς και τυχόν ανανεώσεις ή τροποποιήσεις αυτών. Η παρούσα παράγραφος αφορά τα στοιχεία των ασφαλιστηρίων συμβολαίων με ισχύ εντός του έτους 2023 και εφεξής. Ως έτος αναφοράς για την εφαρμογή της παρούσας παραγράφου ορίζεται το προηγούμενο έτος του έτους για το οποίο χορηγείται η μείωση του ΕΝΦΙΑ σύμφωνα με την παρ. 7Ζ του άρθρου 3 του ν. 4223/2013.</w:t>
      </w:r>
    </w:p>
    <w:p>
      <w:pPr>
        <w:spacing w:before="240" w:after="240"/>
        <w:rPr>
          <w:lang w:val="el" w:eastAsia="el"/>
        </w:rPr>
      </w:pPr>
      <w:r>
        <w:rPr>
          <w:b/>
          <w:bCs/>
          <w:lang w:val="el" w:eastAsia="el"/>
        </w:rPr>
        <w:t> </w:t>
      </w:r>
    </w:p>
    <w:p>
      <w:pPr>
        <w:spacing w:before="240" w:after="240"/>
        <w:rPr>
          <w:lang w:val="el" w:eastAsia="el"/>
        </w:rPr>
      </w:pPr>
      <w:r>
        <w:rPr>
          <w:b/>
          <w:bCs/>
          <w:lang w:val="el" w:eastAsia="el"/>
        </w:rPr>
        <w:t>Τα στοιχεία των ασφαλιστηρίων συμβολαίων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ΑΦΜ και ονοματεπώνυμο του λήπτη της ασφάλισης, </w:t>
      </w:r>
    </w:p>
    <w:p>
      <w:pPr>
        <w:pStyle w:val="StructureList1"/>
        <w:spacing w:before="120" w:after="0"/>
        <w:rPr>
          <w:lang w:val="el" w:eastAsia="el"/>
        </w:rPr>
      </w:pPr>
      <w:r>
        <w:rPr>
          <w:b/>
          <w:bCs/>
          <w:lang w:val="el" w:eastAsia="el"/>
        </w:rPr>
        <w:t>β)</w:t>
      </w:r>
      <w:r>
        <w:rPr>
          <w:b/>
          <w:bCs/>
          <w:lang w:val="en" w:eastAsia="en"/>
        </w:rPr>
        <w:tab/>
      </w:r>
      <w:r>
        <w:rPr>
          <w:b/>
          <w:bCs/>
          <w:lang w:val="el" w:eastAsia="el"/>
        </w:rPr>
        <w:t>αριθμός ασφαλιστηρίου συμβολαίου,</w:t>
      </w:r>
    </w:p>
    <w:p>
      <w:pPr>
        <w:pStyle w:val="StructureList1"/>
        <w:spacing w:before="120" w:after="0"/>
        <w:rPr>
          <w:lang w:val="el" w:eastAsia="el"/>
        </w:rPr>
      </w:pPr>
      <w:r>
        <w:rPr>
          <w:b/>
          <w:bCs/>
          <w:lang w:val="el" w:eastAsia="el"/>
        </w:rPr>
        <w:t>γ)</w:t>
      </w:r>
      <w:r>
        <w:rPr>
          <w:b/>
          <w:bCs/>
          <w:lang w:val="en" w:eastAsia="en"/>
        </w:rPr>
        <w:tab/>
      </w:r>
      <w:r>
        <w:rPr>
          <w:b/>
          <w:bCs/>
          <w:lang w:val="el" w:eastAsia="el"/>
        </w:rPr>
        <w:t>ημερομηνία έναρξης και λήξης της ασφάλισης,</w:t>
      </w:r>
    </w:p>
    <w:p>
      <w:pPr>
        <w:pStyle w:val="StructureList1"/>
        <w:spacing w:before="120" w:after="0"/>
        <w:rPr>
          <w:lang w:val="el" w:eastAsia="el"/>
        </w:rPr>
      </w:pPr>
      <w:r>
        <w:rPr>
          <w:b/>
          <w:bCs/>
          <w:lang w:val="el" w:eastAsia="el"/>
        </w:rPr>
        <w:t>δ)</w:t>
      </w:r>
      <w:r>
        <w:rPr>
          <w:b/>
          <w:bCs/>
          <w:lang w:val="en" w:eastAsia="en"/>
        </w:rPr>
        <w:tab/>
      </w:r>
      <w:r>
        <w:rPr>
          <w:b/>
          <w:bCs/>
          <w:lang w:val="el" w:eastAsia="el"/>
        </w:rPr>
        <w:t>ασφαλιστικοί κίνδυνοι σεισμού, πυρκαγιάς και πλημμύρας που καλύπτει το συμβόλαιο,</w:t>
      </w:r>
    </w:p>
    <w:p>
      <w:pPr>
        <w:pStyle w:val="StructureList1"/>
        <w:spacing w:before="120" w:after="0"/>
        <w:rPr>
          <w:lang w:val="el" w:eastAsia="el"/>
        </w:rPr>
      </w:pPr>
      <w:r>
        <w:rPr>
          <w:b/>
          <w:bCs/>
          <w:lang w:val="el" w:eastAsia="el"/>
        </w:rPr>
        <w:t>ε)</w:t>
      </w:r>
      <w:r>
        <w:rPr>
          <w:b/>
          <w:bCs/>
          <w:lang w:val="en" w:eastAsia="en"/>
        </w:rPr>
        <w:tab/>
      </w:r>
      <w:r>
        <w:rPr>
          <w:b/>
          <w:bCs/>
          <w:lang w:val="el" w:eastAsia="el"/>
        </w:rPr>
        <w:t>ασφαλισμένο κεφάλαιο που καλύπτει και τους τρεις ανωτέρω ασφαλιστικούς κινδύνους (σεισμό, πυρκαγιά και πλημμύρα),</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και περιγραφή της ασφαλισμένης κατοικίας. Ειδικότερα: Νομός, Δήμος, Δημοτική Ενότητα, Δημοτικό ή Κοινοτικό Διαμέρισμα, Οδός, Αριθμός, Ταχυδρομικός Κώδικας, Ονομασία οδού ακινήτου, Όροφος, Επιφάνεια κυρίων και βοηθητικών χώρων και Έτος κατασκευής, εφόσον αναφέρονται στο συμβόλαιο,</w:t>
      </w:r>
    </w:p>
    <w:p>
      <w:pPr>
        <w:pStyle w:val="StructureList1"/>
        <w:spacing w:before="120" w:after="0"/>
        <w:rPr>
          <w:lang w:val="el" w:eastAsia="el"/>
        </w:rPr>
      </w:pPr>
      <w:r>
        <w:rPr>
          <w:b/>
          <w:bCs/>
          <w:lang w:val="el" w:eastAsia="el"/>
        </w:rPr>
        <w:t>ζ)</w:t>
      </w:r>
      <w:r>
        <w:rPr>
          <w:b/>
          <w:bCs/>
          <w:lang w:val="en" w:eastAsia="en"/>
        </w:rPr>
        <w:tab/>
      </w:r>
      <w:r>
        <w:rPr>
          <w:b/>
          <w:bCs/>
          <w:lang w:val="el" w:eastAsia="el"/>
        </w:rPr>
        <w:t>μοναδικός αριθμός εγγραφής ασφαλιστηρίου.</w:t>
      </w:r>
    </w:p>
    <w:p>
      <w:pPr>
        <w:pStyle w:val="StructureList1"/>
        <w:spacing w:before="120" w:after="0"/>
        <w:rPr>
          <w:lang w:val="el" w:eastAsia="el"/>
        </w:rPr>
      </w:pPr>
      <w:r>
        <w:rPr>
          <w:b/>
          <w:bCs/>
          <w:lang w:val="el" w:eastAsia="el"/>
        </w:rPr>
        <w:t>η)</w:t>
      </w:r>
      <w:r>
        <w:rPr>
          <w:b/>
          <w:bCs/>
          <w:lang w:val="en" w:eastAsia="en"/>
        </w:rPr>
        <w:tab/>
      </w:r>
      <w:r>
        <w:rPr>
          <w:b/>
          <w:bCs/>
          <w:lang w:val="el" w:eastAsia="el"/>
        </w:rPr>
        <w:t>Μοναδικός αριθμός εγγραφής ασφαλιστηρίου προηγούμενου έτους (προαιρετικό πεδίο).</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 </w:t>
      </w:r>
    </w:p>
    <w:p>
      <w:pPr>
        <w:spacing w:before="240" w:after="240"/>
        <w:rPr>
          <w:lang w:val="el" w:eastAsia="el"/>
        </w:rPr>
      </w:pPr>
      <w:r>
        <w:rPr>
          <w:b/>
          <w:bCs/>
          <w:lang w:val="el" w:eastAsia="el"/>
        </w:rPr>
        <w:t>Η διαβίβαση των στοιχείων της παραγράφου αυτής θα γίνεται απευθείας στην ΑΑΔΕ μέσω διαδικτυακής εφαρμογής ασφαλούς συστήματος μεταφόρτωσης αρχείου. Οι προδιαγραφές του αρχείου και ο τρόπος διαβίβασης του, θα αναρτηθούν στην ιστοσελίδα της ΑΑΔΕ.</w:t>
      </w:r>
    </w:p>
    <w:p>
      <w:pPr>
        <w:spacing w:before="240" w:after="240"/>
        <w:rPr>
          <w:lang w:val="el" w:eastAsia="el"/>
        </w:rPr>
      </w:pPr>
      <w:r>
        <w:rPr>
          <w:b/>
          <w:bCs/>
          <w:lang w:val="el" w:eastAsia="el"/>
        </w:rPr>
        <w:t> </w:t>
      </w:r>
    </w:p>
    <w:p>
      <w:pPr>
        <w:spacing w:before="240" w:after="240"/>
        <w:rPr>
          <w:lang w:val="el" w:eastAsia="el"/>
        </w:rPr>
      </w:pPr>
      <w:r>
        <w:rPr>
          <w:b/>
          <w:bCs/>
          <w:lang w:val="el" w:eastAsia="el"/>
        </w:rPr>
        <w:t>Ειδικά για τα στοιχεία των ασφαλιστηρίων συμβολαίων με ισχύ εντός του έτους 2023, δύνανται να παραδίδονται στη Γενική Διεύθυνση Ηλεκτρονικής Διακυβέρνησης της ΑΑΔΕ σε ψηφιακό φορητό μέσο, σε περίπτωση διαπιστωμένου τεχνικού προβλήματος της επιχείρησης ιδιωτικής ασφάλισης.</w:t>
      </w:r>
    </w:p>
    <w:p>
      <w:pPr>
        <w:spacing w:before="240" w:after="240"/>
        <w:rPr>
          <w:lang w:val="el" w:eastAsia="el"/>
        </w:rPr>
      </w:pPr>
      <w:r>
        <w:rPr>
          <w:b/>
          <w:bCs/>
          <w:lang w:val="el" w:eastAsia="el"/>
        </w:rPr>
        <w:t> </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10η Ιανουαρίου του επόμενου έτους του έτους αναφοράς.</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Πληροφορίες από ιδιωτικά θεραπευτήρια</w:t>
      </w:r>
    </w:p>
    <w:p>
      <w:pPr>
        <w:pStyle w:val="MainText"/>
        <w:spacing w:before="120" w:after="0"/>
        <w:rPr>
          <w:lang w:val="el" w:eastAsia="el"/>
        </w:rPr>
      </w:pPr>
      <w:r>
        <w:rPr>
          <w:b/>
          <w:bCs/>
          <w:lang w:val="el" w:eastAsia="el"/>
        </w:rPr>
        <w:t>3.1.</w:t>
      </w:r>
      <w:r>
        <w:rPr>
          <w:b/>
          <w:bCs/>
          <w:lang w:val="el" w:eastAsia="el"/>
        </w:rPr>
        <w:t xml:space="preserve"> Τα ιδιωτικά θεραπευτήρια (με εξαίρεση εκείνων της ψυχικής υγείας, καθώς και των ιδιωτικών διαγνωστικών κέντρων), διαβιβάζουν στη Γενική Γραμματεία Δημοσίων Εσόδων του Υπουργείου Οικονομικών, στην Δ/νση Ηλεκτρονικής Διακυβέρνησης (e- Εφαρμογές), σε ηλεκτρονική κατάσταση, στοιχεία με ιατρικές πράξεις. Τα στοιχεία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ΑΦΜ ιατρού που εκτέλεσε την επέμβαση,</w:t>
      </w:r>
    </w:p>
    <w:p>
      <w:pPr>
        <w:pStyle w:val="StructureList1"/>
        <w:spacing w:before="120" w:after="0"/>
        <w:rPr>
          <w:lang w:val="el" w:eastAsia="el"/>
        </w:rPr>
      </w:pPr>
      <w:r>
        <w:rPr>
          <w:b/>
          <w:bCs/>
          <w:lang w:val="el" w:eastAsia="el"/>
        </w:rPr>
        <w:t>β)</w:t>
      </w:r>
      <w:r>
        <w:rPr>
          <w:b/>
          <w:bCs/>
          <w:lang w:val="en" w:eastAsia="en"/>
        </w:rPr>
        <w:tab/>
      </w:r>
      <w:r>
        <w:rPr>
          <w:b/>
          <w:bCs/>
          <w:lang w:val="el" w:eastAsia="el"/>
        </w:rPr>
        <w:t>ένδειξη έμμισθου (1) ή συνεργαζόμενου (2) ιατρού,</w:t>
      </w:r>
    </w:p>
    <w:p>
      <w:pPr>
        <w:pStyle w:val="StructureList1"/>
        <w:spacing w:before="120" w:after="0"/>
        <w:rPr>
          <w:lang w:val="el" w:eastAsia="el"/>
        </w:rPr>
      </w:pPr>
      <w:r>
        <w:rPr>
          <w:b/>
          <w:bCs/>
          <w:lang w:val="el" w:eastAsia="el"/>
        </w:rPr>
        <w:t>γ)</w:t>
      </w:r>
      <w:r>
        <w:rPr>
          <w:b/>
          <w:bCs/>
          <w:lang w:val="en" w:eastAsia="en"/>
        </w:rPr>
        <w:tab/>
      </w:r>
      <w:r>
        <w:rPr>
          <w:b/>
          <w:bCs/>
          <w:lang w:val="el" w:eastAsia="el"/>
        </w:rPr>
        <w:t>ημερομηνία εκτελεσθείσης επέμβασης,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κωδικό πράξης, σύμφωνα με την Κωδικοποίηση Νόσων - Διαγνώσεων (ICD-10)/ιατρικών πράξεων.</w:t>
      </w:r>
    </w:p>
    <w:p>
      <w:pPr>
        <w:spacing w:before="240" w:after="240"/>
        <w:rPr>
          <w:lang w:val="el" w:eastAsia="el"/>
        </w:rPr>
      </w:pPr>
      <w:r>
        <w:rPr>
          <w:b/>
          <w:bCs/>
          <w:lang w:val="el" w:eastAsia="el"/>
        </w:rPr>
        <w:t>Την ίδια υποχρέωση έχουν και όλα τα ιδιωτικά ιατρικά κέντρα συμπεριλαμβανομένων και των κέντρων πλαστικής χειρουργικής.</w:t>
      </w:r>
    </w:p>
    <w:p>
      <w:pPr>
        <w:spacing w:before="240" w:after="240"/>
        <w:rPr>
          <w:lang w:val="el" w:eastAsia="el"/>
        </w:rPr>
      </w:pPr>
      <w:r>
        <w:rPr>
          <w:b/>
          <w:bCs/>
          <w:lang w:val="el" w:eastAsia="el"/>
        </w:rPr>
        <w:t>Δεν περιλαμβάνονται στα παραπάνω στοιχεία οι αμοιβές που αφορούν διαγνωστικές εξετάσεις, και οι αμοιβές ιατρών, που αφορούν αποκλειστικά επισκέψεις για ιατρικές γνωματεύσεις.</w:t>
      </w:r>
    </w:p>
    <w:p>
      <w:pPr>
        <w:pStyle w:val="MainText"/>
        <w:spacing w:before="120" w:after="0"/>
        <w:rPr>
          <w:lang w:val="el" w:eastAsia="el"/>
        </w:rPr>
      </w:pPr>
      <w:r>
        <w:rPr>
          <w:b/>
          <w:bCs/>
          <w:lang w:val="el" w:eastAsia="el"/>
        </w:rPr>
        <w:t>3.2.</w:t>
      </w:r>
      <w:r>
        <w:rPr>
          <w:b/>
          <w:bCs/>
          <w:lang w:val="el" w:eastAsia="el"/>
        </w:rPr>
        <w:t xml:space="preserve"> Η διαβίβαση στοιχείων θα γίνεται απευθείας στη Γ.Γ.Δ.Ε. μέσω διαδικτυακής εφαρμογής ασφαλούς συστήματος μεταφόρτωσης αρχείου. Οι προδιαγραφές του αρχείου και ο τρόπος διαβίβασής του, θα αναρτηθούν έγκαιρα στην ιστοσελίδα της Γ.Γ.Δ.Ε.</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31η Μαρτίου του επόμενου έτους του έτους αναφοράς.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Πληροφορίες από ιδιωτικά εκπαιδευτήρια</w:t>
      </w:r>
    </w:p>
    <w:p>
      <w:pPr>
        <w:pStyle w:val="MainText"/>
        <w:spacing w:before="120" w:after="0"/>
        <w:rPr>
          <w:lang w:val="el" w:eastAsia="el"/>
        </w:rPr>
      </w:pPr>
      <w:r>
        <w:rPr>
          <w:b/>
          <w:bCs/>
          <w:lang w:val="el" w:eastAsia="el"/>
        </w:rPr>
        <w:t>4.1.</w:t>
      </w:r>
      <w:r>
        <w:rPr>
          <w:b/>
          <w:bCs/>
          <w:lang w:val="el" w:eastAsia="el"/>
        </w:rPr>
        <w:t xml:space="preserve"> Τα ιδιωτικά σχολεία στοιχειώδους και μέσης εκπαίδευσης (νηπιαγωγεία, δημοτικά, γυμνάσια και λύκεια), με εξαίρεση τα εσπερινά γυμνάσια και λύκεια, καθώς και τα ειδικά σχολεία ατόμων με ειδικές ανάγκες, διαβιβάζουν στη Δ/νση Ηλεκτρονικής Διακυβέρνησης (e- Εφαρμογές) της Γενικής Γραμματείας Δημοσίων Εσόδων του Υπουργείου Οικονομικών ηλεκτρονική κατάσταση καταβληθέντων διδάκτρων και πληρωμών για πρόσθετες παροχές (μεταφορά μαθητών, διατροφή, κλπ) ανά ημερολογιακό έτος.</w:t>
      </w:r>
    </w:p>
    <w:p>
      <w:pPr>
        <w:pStyle w:val="MainText"/>
        <w:spacing w:before="120" w:after="0"/>
        <w:rPr>
          <w:lang w:val="el" w:eastAsia="el"/>
        </w:rPr>
      </w:pPr>
      <w:r>
        <w:rPr>
          <w:b/>
          <w:bCs/>
          <w:lang w:val="el" w:eastAsia="el"/>
        </w:rPr>
        <w:t>4.2.</w:t>
      </w:r>
      <w:r>
        <w:rPr>
          <w:b/>
          <w:bCs/>
          <w:lang w:val="el" w:eastAsia="el"/>
        </w:rPr>
        <w:t xml:space="preserve"> Τα στοιχεία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ΑΦΜ υπόχρεου προς καταβολή. Για την εφαρμογή της παρούσης ως υπόχρεος θεωρείται ο γονέας ή ο κηδεμόνας ή τρίτο πρόσωπο που καταβάλει σταθερά τα δίδακτρα σε όλη τη διάρκεια του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Ονοματεπώνυμο υπόχρεου, εφόσον δεν έχουν δοθεί στοιχεία για το ΑΦΜ αυτού έως την ημερομηνία υπογραφής της παρούσης.</w:t>
      </w:r>
    </w:p>
    <w:p>
      <w:pPr>
        <w:pStyle w:val="StructureList1"/>
        <w:spacing w:before="120" w:after="0"/>
        <w:rPr>
          <w:lang w:val="el" w:eastAsia="el"/>
        </w:rPr>
      </w:pPr>
      <w:r>
        <w:rPr>
          <w:b/>
          <w:bCs/>
          <w:lang w:val="el" w:eastAsia="el"/>
        </w:rPr>
        <w:t>γ)</w:t>
      </w:r>
      <w:r>
        <w:rPr>
          <w:b/>
          <w:bCs/>
          <w:lang w:val="en" w:eastAsia="en"/>
        </w:rPr>
        <w:tab/>
      </w:r>
      <w:r>
        <w:rPr>
          <w:b/>
          <w:bCs/>
          <w:lang w:val="el" w:eastAsia="el"/>
        </w:rPr>
        <w:t>Συνολικό ποσό καταβληθέντων διδάκτρων και ποσό αμοιβών για τυχόν πρόσθετες παροχές (εξέταστρα, μεταφορικά, διατροφή, αθλοπαιδιές, κ.λπ.).</w:t>
      </w:r>
    </w:p>
    <w:p>
      <w:pPr>
        <w:pStyle w:val="MainText"/>
        <w:spacing w:before="120" w:after="0"/>
        <w:rPr>
          <w:lang w:val="el" w:eastAsia="el"/>
        </w:rPr>
      </w:pPr>
      <w:r>
        <w:rPr>
          <w:b/>
          <w:bCs/>
          <w:lang w:val="el" w:eastAsia="el"/>
        </w:rPr>
        <w:t>4.3.</w:t>
      </w:r>
      <w:r>
        <w:rPr>
          <w:b/>
          <w:bCs/>
          <w:lang w:val="el" w:eastAsia="el"/>
        </w:rPr>
        <w:t xml:space="preserve"> Τις παραπάνω υποχρεώσεις έχουν και τα ιδιωτικά εκπαιδευτήρια που λειτουργούν νόμιμα στη χώρα ως Πανεπιστήμια, Κολλέγια, Παραρτήματα ξένων Πανεπιστημίων, Ιδιωτικά ΙΕΚ, Εργαστήρια Ελευθέρων Σπουδών, Ινστιτούτα Σπουδών, επαγγελματικές και τεχνικές σχολές. Οι προδιαγραφές του αρχείου και ο τρόπος διαβίβασής του, θα αναρτηθεί στην ιστοσελίδα της Γ.Γ.Δ.Ε.</w:t>
      </w:r>
    </w:p>
    <w:p>
      <w:pPr>
        <w:pStyle w:val="MainText"/>
        <w:spacing w:before="120" w:after="0"/>
        <w:rPr>
          <w:lang w:val="el" w:eastAsia="el"/>
        </w:rPr>
      </w:pPr>
      <w:r>
        <w:rPr>
          <w:b/>
          <w:bCs/>
          <w:lang w:val="el" w:eastAsia="el"/>
        </w:rPr>
        <w:t>4.4.</w:t>
      </w:r>
      <w:r>
        <w:rPr>
          <w:b/>
          <w:bCs/>
          <w:lang w:val="el" w:eastAsia="el"/>
        </w:rPr>
        <w:t xml:space="preserve"> Η διαβίβαση στοιχείων θα γίνεται απευθείας στη Γ.Γ.Δ.Ε. μέσω διαδικτυακής εφαρμογής ασφαλούς συστήματος μεταφόρτωσης αρχείου.</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28η Φεβρουαρίου του επόμενου έτους του έτους αναφοράς.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Πληροφορίες από εταιρίες σταθερής και κινητής τηλεφωνίας</w:t>
      </w:r>
    </w:p>
    <w:p>
      <w:pPr>
        <w:pStyle w:val="MainText"/>
        <w:spacing w:before="120" w:after="0"/>
        <w:rPr>
          <w:lang w:val="el" w:eastAsia="el"/>
        </w:rPr>
      </w:pPr>
      <w:r>
        <w:rPr>
          <w:b/>
          <w:bCs/>
          <w:lang w:val="el" w:eastAsia="el"/>
        </w:rPr>
        <w:t>5.1.</w:t>
      </w:r>
      <w:r>
        <w:rPr>
          <w:b/>
          <w:bCs/>
          <w:lang w:val="el" w:eastAsia="el"/>
        </w:rPr>
        <w:t xml:space="preserve"> Οι εταιρείες σταθερής και κινητής τηλεφωνίας διαβιβάζουν στη Γενική Γραμματεία Δημοσίων Εσόδων του Υπουργείου Οικονομικών, στην Δ/νση Ηλεκτρονικής Διακυβέρνησης (e- Εφαρμογές), σε ηλεκτρονική κατάσταση, στοιχεία τελών σταθερής και κινητής τηλεφωνίας των συνδρομητών τους. Στο τηλεπικοινωνιακό κόστος συμπεριλαμβάνονται τα πάγια τέλη και τα τέλη χρήσης για συνδέσεις σταθερής και κινητής τηλεφωνίας ή σύνδεσης στο διαδίκτυο μέσω σταθερής ή κινητής τηλεφωνίας, είτε αυτή γίνεται μέσω συμβολαίου, είτε μέσω κάρτας. Στο κόστος αυτό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5.2.</w:t>
      </w:r>
      <w:r>
        <w:rPr>
          <w:b/>
          <w:bCs/>
          <w:lang w:val="el" w:eastAsia="el"/>
        </w:rPr>
        <w:t xml:space="preserve"> Τα στοιχεία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ΑΦΜ υπόχρεου συνδρομητή (ή αριθμός αστυνομικής ταυτότητας εφόσον στερείται ΑΦΜ),</w:t>
      </w:r>
    </w:p>
    <w:p>
      <w:pPr>
        <w:pStyle w:val="StructureList1"/>
        <w:spacing w:before="120" w:after="0"/>
        <w:rPr>
          <w:lang w:val="el" w:eastAsia="el"/>
        </w:rPr>
      </w:pPr>
      <w:r>
        <w:rPr>
          <w:b/>
          <w:bCs/>
          <w:lang w:val="el" w:eastAsia="el"/>
        </w:rPr>
        <w:t>β)</w:t>
      </w:r>
      <w:r>
        <w:rPr>
          <w:b/>
          <w:bCs/>
          <w:lang w:val="en" w:eastAsia="en"/>
        </w:rPr>
        <w:tab/>
      </w:r>
      <w:r>
        <w:rPr>
          <w:b/>
          <w:bCs/>
          <w:lang w:val="el" w:eastAsia="el"/>
        </w:rPr>
        <w:t>Ποσό ετήσιου τηλεπικοινωνιακού κόστους (καθαρή αξία λογαριασμού),</w:t>
      </w:r>
    </w:p>
    <w:p>
      <w:pPr>
        <w:pStyle w:val="StructureList1"/>
        <w:spacing w:before="120" w:after="0"/>
        <w:rPr>
          <w:lang w:val="el" w:eastAsia="el"/>
        </w:rPr>
      </w:pPr>
      <w:r>
        <w:rPr>
          <w:b/>
          <w:bCs/>
          <w:lang w:val="el" w:eastAsia="el"/>
        </w:rPr>
        <w:t>γ)</w:t>
      </w:r>
      <w:r>
        <w:rPr>
          <w:b/>
          <w:bCs/>
          <w:lang w:val="en" w:eastAsia="en"/>
        </w:rPr>
        <w:tab/>
      </w:r>
      <w:r>
        <w:rPr>
          <w:b/>
          <w:bCs/>
          <w:lang w:val="el" w:eastAsia="el"/>
        </w:rPr>
        <w:t>Ημερολογιακό έτος αναφοράς.</w:t>
      </w:r>
    </w:p>
    <w:p>
      <w:pPr>
        <w:pStyle w:val="MainText"/>
        <w:spacing w:before="120" w:after="0"/>
        <w:rPr>
          <w:lang w:val="el" w:eastAsia="el"/>
        </w:rPr>
      </w:pPr>
      <w:r>
        <w:rPr>
          <w:b/>
          <w:bCs/>
          <w:lang w:val="el" w:eastAsia="el"/>
        </w:rPr>
        <w:t>5.3</w:t>
      </w:r>
      <w:r>
        <w:rPr>
          <w:b/>
          <w:bCs/>
          <w:lang w:val="el" w:eastAsia="el"/>
        </w:rPr>
        <w:t xml:space="preserve"> Η διαβίβαση στοιχείων θα γίνεται απευθείας στη Γ.Γ.Δ.Ε./ Δ/νση Ηλεκτρονικής Διακυβέρνησης (e- Εφαρμογές) / Τμήμα Α', ταχυδρομικώς σε ψηφιακό μέσο αποθήκευσης (cd/dvd). Οι προδιαγραφές του αρχείου θα αναρτηθούν έγκαιρα στην ιστοσελίδα της Γ.Γ.Δ.Ε.</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31η Μαρτίου του επόμενου έτους του έτους αναφοράς.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Πληροφορίες από εταιρείες παροχής ηλεκτρικής ενέργειας</w:t>
      </w:r>
    </w:p>
    <w:p>
      <w:pPr>
        <w:pStyle w:val="MainText"/>
        <w:spacing w:before="120" w:after="0"/>
        <w:rPr>
          <w:lang w:val="el" w:eastAsia="el"/>
        </w:rPr>
      </w:pPr>
      <w:r>
        <w:rPr>
          <w:b/>
          <w:bCs/>
          <w:lang w:val="el" w:eastAsia="el"/>
        </w:rPr>
        <w:t>6.1.</w:t>
      </w:r>
      <w:r>
        <w:rPr>
          <w:b/>
          <w:bCs/>
          <w:lang w:val="el" w:eastAsia="el"/>
        </w:rPr>
        <w:t xml:space="preserve"> Οι εταιρείες παροχής ηλεκτρικής ενέργειας διαβιβάζουν στη Γενική Γραμματεία Δημοσίων Εσόδων του Υπουργείου Οικονομικών, στην Δ/νση Ηλεκτρονικής Διακυβέρνησης, σε ηλεκτρονική κατάσταση, στοιχεία κατανάλωσης και κόστος ηλεκτρικής ενέργειας των συνδρομητών τους. Στο ετήσιο κόστος ηλεκτρικής ενέργειας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6.2.</w:t>
      </w:r>
      <w:r>
        <w:rPr>
          <w:b/>
          <w:bCs/>
          <w:lang w:val="el" w:eastAsia="el"/>
        </w:rPr>
        <w:t xml:space="preserve"> Τα στοιχεία που διαβιβάζονται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Αριθμός Παροχής,</w:t>
      </w:r>
    </w:p>
    <w:p>
      <w:pPr>
        <w:pStyle w:val="StructureList1"/>
        <w:spacing w:before="120" w:after="0"/>
        <w:rPr>
          <w:lang w:val="el" w:eastAsia="el"/>
        </w:rPr>
      </w:pPr>
      <w:r>
        <w:rPr>
          <w:b/>
          <w:bCs/>
          <w:lang w:val="el" w:eastAsia="el"/>
        </w:rPr>
        <w:t>β)</w:t>
      </w:r>
      <w:r>
        <w:rPr>
          <w:b/>
          <w:bCs/>
          <w:lang w:val="en" w:eastAsia="en"/>
        </w:rPr>
        <w:tab/>
      </w:r>
      <w:r>
        <w:rPr>
          <w:b/>
          <w:bCs/>
          <w:lang w:val="el" w:eastAsia="el"/>
        </w:rPr>
        <w:t>ΑΦΜ συνδρομητή (ή αριθμός αστυνομικής ταυτότητας εφόσον στερείται ΑΦΜ),</w:t>
      </w:r>
    </w:p>
    <w:p>
      <w:pPr>
        <w:pStyle w:val="StructureList1"/>
        <w:spacing w:before="120" w:after="0"/>
        <w:rPr>
          <w:lang w:val="el" w:eastAsia="el"/>
        </w:rPr>
      </w:pPr>
      <w:r>
        <w:rPr>
          <w:b/>
          <w:bCs/>
          <w:lang w:val="el" w:eastAsia="el"/>
        </w:rPr>
        <w:t>γ)</w:t>
      </w:r>
      <w:r>
        <w:rPr>
          <w:b/>
          <w:bCs/>
          <w:lang w:val="en" w:eastAsia="en"/>
        </w:rPr>
        <w:tab/>
      </w:r>
      <w:r>
        <w:rPr>
          <w:b/>
          <w:bCs/>
          <w:lang w:val="el" w:eastAsia="el"/>
        </w:rPr>
        <w:t>Κατανάλωση ηλεκτρικού ρεύματος σε κιλοβατώρες (KWh),</w:t>
      </w:r>
    </w:p>
    <w:p>
      <w:pPr>
        <w:pStyle w:val="StructureList1"/>
        <w:spacing w:before="120" w:after="0"/>
        <w:rPr>
          <w:lang w:val="el" w:eastAsia="el"/>
        </w:rPr>
      </w:pPr>
      <w:r>
        <w:rPr>
          <w:b/>
          <w:bCs/>
          <w:lang w:val="el" w:eastAsia="el"/>
        </w:rPr>
        <w:t>δ)</w:t>
      </w:r>
      <w:r>
        <w:rPr>
          <w:b/>
          <w:bCs/>
          <w:lang w:val="en" w:eastAsia="en"/>
        </w:rPr>
        <w:tab/>
      </w:r>
      <w:r>
        <w:rPr>
          <w:b/>
          <w:bCs/>
          <w:lang w:val="el" w:eastAsia="el"/>
        </w:rPr>
        <w:t>Κόστος ηλεκτρικού ρεύματος (καθαρή αξία λογαριασμού),</w:t>
      </w:r>
    </w:p>
    <w:p>
      <w:pPr>
        <w:pStyle w:val="StructureList1"/>
        <w:spacing w:before="120" w:after="0"/>
        <w:rPr>
          <w:lang w:val="el" w:eastAsia="el"/>
        </w:rPr>
      </w:pPr>
      <w:r>
        <w:rPr>
          <w:b/>
          <w:bCs/>
          <w:lang w:val="el" w:eastAsia="el"/>
        </w:rPr>
        <w:t>ε)</w:t>
      </w:r>
      <w:r>
        <w:rPr>
          <w:b/>
          <w:bCs/>
          <w:lang w:val="en" w:eastAsia="en"/>
        </w:rPr>
        <w:tab/>
      </w:r>
      <w:r>
        <w:rPr>
          <w:b/>
          <w:bCs/>
          <w:lang w:val="el" w:eastAsia="el"/>
        </w:rPr>
        <w:t>Ημερολογιακό έτος αναφοράς.</w:t>
      </w:r>
    </w:p>
    <w:p>
      <w:pPr>
        <w:pStyle w:val="MainText"/>
        <w:spacing w:before="120" w:after="0"/>
        <w:rPr>
          <w:lang w:val="el" w:eastAsia="el"/>
        </w:rPr>
      </w:pPr>
      <w:r>
        <w:rPr>
          <w:b/>
          <w:bCs/>
          <w:lang w:val="el" w:eastAsia="el"/>
        </w:rPr>
        <w:t>6.3</w:t>
      </w:r>
      <w:r>
        <w:rPr>
          <w:b/>
          <w:bCs/>
          <w:lang w:val="el" w:eastAsia="el"/>
        </w:rPr>
        <w:t xml:space="preserve"> Η διαβίβαση στοιχείων θα γίνεται απευθείας στη Γ.Γ.Δ.Ε./ Δ/νση Ηλεκτρονικής Διακυβέρνησης (e- Εφαρμογές) / Τμήμα Α', ταχυδρομικώς σε ψηφιακό μέσο αποθήκευσης (cd/dvd). Οι προδιαγραφές του αρχείου θα αναρτηθούν έγκαιρα στην ιστοσελίδα της Γ.Γ.Δ.Ε.</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31η Μαρτίου του επόμενου έτους του έτους αναφοράς.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Πληροφορίες από εταιρείες ύδρευσης</w:t>
      </w:r>
    </w:p>
    <w:p>
      <w:pPr>
        <w:pStyle w:val="MainText"/>
        <w:spacing w:before="120" w:after="0"/>
        <w:rPr>
          <w:lang w:val="el" w:eastAsia="el"/>
        </w:rPr>
      </w:pPr>
      <w:r>
        <w:rPr>
          <w:b/>
          <w:bCs/>
          <w:lang w:val="el" w:eastAsia="el"/>
        </w:rPr>
        <w:t>7.1.</w:t>
      </w:r>
      <w:r>
        <w:rPr>
          <w:b/>
          <w:bCs/>
          <w:lang w:val="el" w:eastAsia="el"/>
        </w:rPr>
        <w:t xml:space="preserve"> Οι εταιρείες ύδρευσης διαβιβάζουν στη Γενική Γραμματεία Δημοσίων Εσόδων του Υπουργείου Οικονομικών, στην Δ/νση Ηλεκτρονικής Διακυβέρνησης, σε ηλεκτρονική κατάσταση, στοιχεία κατανάλωσης και κόστος νερού των συνδρομητών τους. Στο ετήσιο κόστος ύδρευσης δεν υπολογίζονται οι φορολογικές επιβαρύνσεις, καθώς και οι λοιπές επιβαρύνσεις υπέρ τρίτων.</w:t>
      </w:r>
    </w:p>
    <w:p>
      <w:pPr>
        <w:pStyle w:val="MainText"/>
        <w:spacing w:before="120" w:after="0"/>
        <w:rPr>
          <w:lang w:val="el" w:eastAsia="el"/>
        </w:rPr>
      </w:pPr>
      <w:r>
        <w:rPr>
          <w:b/>
          <w:bCs/>
          <w:lang w:val="el" w:eastAsia="el"/>
        </w:rPr>
        <w:t>7.2.</w:t>
      </w:r>
      <w:r>
        <w:rPr>
          <w:b/>
          <w:bCs/>
          <w:lang w:val="el" w:eastAsia="el"/>
        </w:rPr>
        <w:t xml:space="preserve"> Τα στοιχεία που διαβιβάζονται, αφορούν μόνο σε συνδρομητές με ετήσια κατανάλωση νερού συνολικής αξίας χίλια (1.000) ευρώ και άνω και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Αριθμός Παροχής,</w:t>
      </w:r>
    </w:p>
    <w:p>
      <w:pPr>
        <w:pStyle w:val="StructureList1"/>
        <w:spacing w:before="120" w:after="0"/>
        <w:rPr>
          <w:lang w:val="el" w:eastAsia="el"/>
        </w:rPr>
      </w:pPr>
      <w:r>
        <w:rPr>
          <w:b/>
          <w:bCs/>
          <w:lang w:val="el" w:eastAsia="el"/>
        </w:rPr>
        <w:t>β)</w:t>
      </w:r>
      <w:r>
        <w:rPr>
          <w:b/>
          <w:bCs/>
          <w:lang w:val="en" w:eastAsia="en"/>
        </w:rPr>
        <w:tab/>
      </w:r>
      <w:r>
        <w:rPr>
          <w:b/>
          <w:bCs/>
          <w:lang w:val="el" w:eastAsia="el"/>
        </w:rPr>
        <w:t>ΑΦΜ συνδρομητή (ή αριθμός αστυνομικής ταυτότητας εφόσον στερείται ΑΦΜ),</w:t>
      </w:r>
    </w:p>
    <w:p>
      <w:pPr>
        <w:pStyle w:val="StructureList1"/>
        <w:spacing w:before="120" w:after="0"/>
        <w:rPr>
          <w:lang w:val="el" w:eastAsia="el"/>
        </w:rPr>
      </w:pPr>
      <w:r>
        <w:rPr>
          <w:b/>
          <w:bCs/>
          <w:lang w:val="el" w:eastAsia="el"/>
        </w:rPr>
        <w:t>γ)</w:t>
      </w:r>
      <w:r>
        <w:rPr>
          <w:b/>
          <w:bCs/>
          <w:lang w:val="en" w:eastAsia="en"/>
        </w:rPr>
        <w:tab/>
      </w:r>
      <w:r>
        <w:rPr>
          <w:b/>
          <w:bCs/>
          <w:lang w:val="el" w:eastAsia="el"/>
        </w:rPr>
        <w:t>Κόστος νερού (καθαρή αξία λογαριασμού),</w:t>
      </w:r>
    </w:p>
    <w:p>
      <w:pPr>
        <w:pStyle w:val="StructureList1"/>
        <w:spacing w:before="120" w:after="0"/>
        <w:rPr>
          <w:lang w:val="el" w:eastAsia="el"/>
        </w:rPr>
      </w:pPr>
      <w:r>
        <w:rPr>
          <w:b/>
          <w:bCs/>
          <w:lang w:val="el" w:eastAsia="el"/>
        </w:rPr>
        <w:t>δ)</w:t>
      </w:r>
      <w:r>
        <w:rPr>
          <w:b/>
          <w:bCs/>
          <w:lang w:val="en" w:eastAsia="en"/>
        </w:rPr>
        <w:tab/>
      </w:r>
      <w:r>
        <w:rPr>
          <w:b/>
          <w:bCs/>
          <w:lang w:val="el" w:eastAsia="el"/>
        </w:rPr>
        <w:t>Κατανάλωση νερού σε κυβικά μέτρα (m ),</w:t>
      </w:r>
    </w:p>
    <w:p>
      <w:pPr>
        <w:pStyle w:val="StructureList1"/>
        <w:spacing w:before="120" w:after="0"/>
        <w:rPr>
          <w:lang w:val="el" w:eastAsia="el"/>
        </w:rPr>
      </w:pPr>
      <w:r>
        <w:rPr>
          <w:b/>
          <w:bCs/>
          <w:lang w:val="el" w:eastAsia="el"/>
        </w:rPr>
        <w:t>ε)</w:t>
      </w:r>
      <w:r>
        <w:rPr>
          <w:b/>
          <w:bCs/>
          <w:lang w:val="en" w:eastAsia="en"/>
        </w:rPr>
        <w:tab/>
      </w:r>
      <w:r>
        <w:rPr>
          <w:b/>
          <w:bCs/>
          <w:lang w:val="el" w:eastAsia="el"/>
        </w:rPr>
        <w:t>Ημερολογιακό έτος αναφοράς.</w:t>
      </w:r>
    </w:p>
    <w:p>
      <w:pPr>
        <w:pStyle w:val="MainText"/>
        <w:spacing w:before="120" w:after="0"/>
        <w:rPr>
          <w:lang w:val="el" w:eastAsia="el"/>
        </w:rPr>
      </w:pPr>
      <w:r>
        <w:rPr>
          <w:b/>
          <w:bCs/>
          <w:lang w:val="el" w:eastAsia="el"/>
        </w:rPr>
        <w:t>7.3.</w:t>
      </w:r>
      <w:r>
        <w:rPr>
          <w:b/>
          <w:bCs/>
          <w:lang w:val="el" w:eastAsia="el"/>
        </w:rPr>
        <w:t xml:space="preserve"> Η διαβίβαση στοιχείων θα γίνεται απευθείας στη Γ.Γ.Δ.Ε., Δ/νση Ηλεκτρονικής Διακυβέρνησης (e- Εφαρμογές) μέσω διαδικτυακής εφαρμογής ασφαλούς συστήματος μεταφόρτωσης αρχείου ή ταχυδρομικώς σε ψηφιακό μέσο αποθήκευσης (cd/dvd). Οι προδιαγραφές του αρχείου και ο τρόπος διαβίβασής του, θα αναρτηθούν έγκαιρα στην ιστοσελίδα της Γ.Γ.Δ.Ε.</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31η Μαρτίου του επόμενου έτους του έτους αναφοράς.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Χρόνος διατήρησης των στοιχείων</w:t>
      </w:r>
    </w:p>
    <w:p>
      <w:pPr>
        <w:pStyle w:val="MainText"/>
        <w:spacing w:before="120" w:after="0"/>
        <w:rPr>
          <w:lang w:val="el" w:eastAsia="el"/>
        </w:rPr>
      </w:pPr>
      <w:r>
        <w:rPr>
          <w:b/>
          <w:bCs/>
          <w:lang w:val="el" w:eastAsia="el"/>
        </w:rPr>
        <w:t>8.1.</w:t>
      </w:r>
      <w:r>
        <w:rPr>
          <w:b/>
          <w:bCs/>
          <w:lang w:val="el" w:eastAsia="el"/>
        </w:rPr>
        <w:t xml:space="preserve"> Οι φορείς διατηρούν τα στοιχεία που αποστέλλουν στη Δ/νση Ηλεκτρονικής Διακυβέρνησης, στη μορφή με την οποία τα αποστέλλουν, για χρονικό διάστημα τουλάχιστον δεκαπέντε εργάσιμων ημερών, εκτός των στοιχείων της παραγράφου 1.6 του άρθρου 1, τα οποία διατηρούν για χρονικό διάστημα τριών (3) μηνών.</w:t>
      </w:r>
    </w:p>
    <w:p>
      <w:pPr>
        <w:pStyle w:val="MainText"/>
        <w:spacing w:before="120" w:after="0"/>
        <w:rPr>
          <w:lang w:val="el" w:eastAsia="el"/>
        </w:rPr>
      </w:pPr>
      <w:r>
        <w:rPr>
          <w:b/>
          <w:bCs/>
          <w:lang w:val="el" w:eastAsia="el"/>
        </w:rPr>
        <w:t>8.2.</w:t>
      </w:r>
      <w:r>
        <w:rPr>
          <w:b/>
          <w:bCs/>
          <w:lang w:val="el" w:eastAsia="el"/>
        </w:rPr>
        <w:t xml:space="preserve"> Η Γενική Διεύθυνση Ηλεκτρονικής Διακυβέρνησης της ΑΑΔΕ θα διατηρεί τα ως άνω στοιχεία για χρονικό διάστημα δέκα ετών από τη λήξη του έτους υποβολής αυτών.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για τα στοιχεία της χρήσης 2013 και εφεξής, εκτός των στοιχείων της περ. 1.1.ε και της παραγράφου 1.4 του άρθρου 1, η οποία ισχύει για τα στοιχεία από 01/01/2014 και εφεξής.</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Κάθε προηγούμενη απόφαση με την οποία ζητούνται τα ίδια με την παρούσα απόφαση στοιχεία, παύει να ισχύει από την έναρξη ισχύος της παρούσης, όπως αυτή περιγράφεται στο προηγούμενο εδάφιο.</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ΠΟΛ.1054/2015 01.04.2015</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A.1177/2019 06.05.2019</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A.1271/2021 31.12.2021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A.1271/2021 31.12.2021</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ΠΟΛ.1054/2015 01.04.2015; Τροποποίηση A.1271/2021 31.12.2021</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ΠΟΛ.1054/2015 01.04.2015; Τροποποίηση A.1271/2021 31.12.2021</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 Τροποποίηση ΠΟΛ.1260/2015 03.12.2015; Τροποποίηση A.1033/2025 26.02.2025</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ΠΟΛ.1054/2015 01.04.2015</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A.1004/2024 08.01.2024</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A.1185/2024 23.12.2024</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A.1004/2024 08.01.2024; Τροποποίηση A.1185/2024 23.12.2024</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ΠΟΛ.1054/2015 01.04.2015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