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w:t>
      </w:r>
    </w:p>
    <w:p>
      <w:pPr>
        <w:pStyle w:val="Title"/>
        <w:spacing w:before="120" w:after="360"/>
        <w:rPr>
          <w:lang w:val="el" w:eastAsia="el"/>
        </w:rPr>
      </w:pPr>
      <w:r>
        <w:rPr>
          <w:b/>
          <w:bCs/>
          <w:lang w:val="el" w:eastAsia="el"/>
        </w:rPr>
        <w:t>ΕΣΟΔΩΝ</w:t>
      </w:r>
    </w:p>
    <w:p>
      <w:pPr>
        <w:pStyle w:val="Title"/>
        <w:spacing w:before="120" w:after="360"/>
        <w:rPr>
          <w:lang w:val="el" w:eastAsia="el"/>
        </w:rPr>
      </w:pPr>
      <w:r>
        <w:rPr>
          <w:b/>
          <w:bCs/>
          <w:lang w:val="el" w:eastAsia="el"/>
        </w:rPr>
        <w:t>ΓΕΝΙΚΗ ΔΙΕΥΘΥΝΣΗ ΦΟΡΟΛΟΓΙΑΣ</w:t>
      </w:r>
    </w:p>
    <w:p>
      <w:pPr>
        <w:pStyle w:val="PreambelText"/>
        <w:spacing w:before="240" w:after="240"/>
        <w:rPr>
          <w:lang w:val="el" w:eastAsia="el"/>
        </w:rPr>
      </w:pPr>
      <w:r>
        <w:rPr>
          <w:lang w:val="el" w:eastAsia="el"/>
        </w:rPr>
        <w:t xml:space="preserve">ΑΝΑΡΤΗΤΕΑ ΣΤΟ ΔΙΑΔΙΚΤΥΟ </w:t>
      </w:r>
      <w:r>
        <w:rPr>
          <w:b/>
          <w:bCs/>
          <w:u w:val="single"/>
          <w:lang w:val="el" w:eastAsia="el"/>
        </w:rPr>
        <w:t>ΕΠΕΙΓΟΥΣΑ</w:t>
      </w:r>
    </w:p>
    <w:p>
      <w:pPr>
        <w:pStyle w:val="PreambelText"/>
        <w:spacing w:before="240" w:after="240"/>
        <w:rPr>
          <w:lang w:val="el" w:eastAsia="el"/>
        </w:rPr>
      </w:pPr>
      <w:r>
        <w:rPr>
          <w:lang w:val="el" w:eastAsia="el"/>
        </w:rPr>
        <w:t>Αθήνα, 30 Ιανουαρίου 2014</w:t>
      </w:r>
    </w:p>
    <w:p>
      <w:pPr>
        <w:pStyle w:val="PreambelText"/>
        <w:spacing w:before="240" w:after="240"/>
        <w:rPr>
          <w:lang w:val="el" w:eastAsia="el"/>
        </w:rPr>
      </w:pPr>
      <w:r>
        <w:rPr>
          <w:b/>
          <w:bCs/>
          <w:lang w:val="el" w:eastAsia="el"/>
        </w:rPr>
        <w:t>ΠΟΛ. 1034</w:t>
      </w:r>
    </w:p>
    <w:p>
      <w:pPr>
        <w:pStyle w:val="PreambelText"/>
        <w:spacing w:before="240" w:after="240"/>
        <w:rPr>
          <w:lang w:val="el" w:eastAsia="el"/>
        </w:rPr>
      </w:pPr>
      <w:r>
        <w:rPr>
          <w:b/>
          <w:bCs/>
          <w:lang w:val="el" w:eastAsia="el"/>
        </w:rPr>
        <w:t>ΔΙΕΥΘΥΝΣΗ ΦΟΡΟΛΟΓΙΑΣ ΕΙΣΟΔΗΜΑΤΟΣ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Ταχ. Δ/νση :Καρ. Σερβίας 10</w:t>
      </w:r>
    </w:p>
    <w:p>
      <w:pPr>
        <w:spacing w:before="240" w:after="240"/>
        <w:rPr>
          <w:lang w:val="el" w:eastAsia="el"/>
        </w:rPr>
      </w:pPr>
      <w:r>
        <w:rPr>
          <w:b/>
          <w:bCs/>
          <w:lang w:val="el" w:eastAsia="el"/>
        </w:rPr>
        <w:t>Ταχ. Κώδικας:10184 ΑΘΗΝΑ</w:t>
      </w:r>
    </w:p>
    <w:p>
      <w:pPr>
        <w:spacing w:before="240" w:after="240"/>
        <w:rPr>
          <w:lang w:val="el" w:eastAsia="el"/>
        </w:rPr>
      </w:pPr>
      <w:r>
        <w:rPr>
          <w:b/>
          <w:bCs/>
          <w:lang w:val="el" w:eastAsia="el"/>
        </w:rPr>
        <w:t>Τηλέφωνο :210-3375314</w:t>
      </w:r>
    </w:p>
    <w:p>
      <w:pPr>
        <w:spacing w:before="240" w:after="240"/>
        <w:rPr>
          <w:lang w:val="el" w:eastAsia="el"/>
        </w:rPr>
      </w:pPr>
      <w:r>
        <w:rPr>
          <w:b/>
          <w:bCs/>
          <w:lang w:val="el" w:eastAsia="el"/>
        </w:rPr>
        <w:t>FAX :210-3375001</w:t>
      </w:r>
    </w:p>
    <w:p>
      <w:pPr>
        <w:spacing w:before="240" w:after="240"/>
        <w:rPr>
          <w:lang w:val="el" w:eastAsia="el"/>
        </w:rPr>
      </w:pPr>
      <w:r>
        <w:rPr>
          <w:b/>
          <w:bCs/>
          <w:lang w:val="el" w:eastAsia="el"/>
        </w:rPr>
        <w:t>ΘΕΜΑ: Προσδιορισμός μέσου επιτοκίου αγοράς κατ’ εφαρμογή των διατάξεων της παρ.3 του άρθρου 13 του ν.4172/2013 (ΦΕΚ Α’ 167)</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ΥΦΥΠΟΥΡΓΟΣ ΟΙΚΟΝΟΜΙΚΩΝ</w:t>
      </w:r>
      <w:r>
        <w:rPr>
          <w:lang w:val="el" w:eastAsia="el"/>
        </w:rPr>
        <w:t>Έχοντας υπόψη:</w:t>
      </w:r>
    </w:p>
    <w:p>
      <w:pPr>
        <w:spacing w:before="240" w:after="240"/>
        <w:rPr>
          <w:lang w:val="el" w:eastAsia="el"/>
        </w:rPr>
      </w:pPr>
      <w:r>
        <w:rPr>
          <w:lang w:val="el" w:eastAsia="el"/>
        </w:rPr>
        <w:t>1. Τις διατάξεις του άρθρου 1 του π.δ. 185/2009(ΦΕΚ 213 Α΄)περί ανασύστασης του Υπουργείου Οικονομικών.</w:t>
      </w:r>
    </w:p>
    <w:p>
      <w:pPr>
        <w:spacing w:before="240" w:after="240"/>
        <w:rPr>
          <w:lang w:val="el" w:eastAsia="el"/>
        </w:rPr>
      </w:pPr>
      <w:r>
        <w:rPr>
          <w:lang w:val="el" w:eastAsia="el"/>
        </w:rPr>
        <w:t>2. Την με αριθμό ΥΠΟΙΚ 07927ΕΞ 2012 (ΦΕΚ 2574 Β΄) κοινή απόφαση του Πρωθυπουργού και του Υπουργού Οικονομικών με την οποία ανατίθενται αρμοδιότητες στον Υφυπουργό Οικονομικών.</w:t>
      </w:r>
    </w:p>
    <w:p>
      <w:pPr>
        <w:spacing w:before="240" w:after="240"/>
        <w:rPr>
          <w:lang w:val="el" w:eastAsia="el"/>
        </w:rPr>
      </w:pPr>
      <w:r>
        <w:rPr>
          <w:lang w:val="el" w:eastAsia="el"/>
        </w:rPr>
        <w:t>3. Τις διατάξεις της παρ.3 του άρθρου 13 του ν.4172/2013 (ΦΕΚ Α’ 167).</w:t>
      </w:r>
    </w:p>
    <w:p>
      <w:pPr>
        <w:spacing w:before="240" w:after="240"/>
        <w:rPr>
          <w:lang w:val="el" w:eastAsia="el"/>
        </w:rPr>
      </w:pPr>
      <w:r>
        <w:rPr>
          <w:lang w:val="el" w:eastAsia="el"/>
        </w:rPr>
        <w:t>4. Την ανάγκη έγκαιρης ενημέρωσης των φορολογουμένων και εργοδοτών για τον προσδιορισμό του φορολογητέου εισοδήματος που προκύπτει από παροχές σε είδος.</w:t>
      </w:r>
    </w:p>
    <w:p>
      <w:pPr>
        <w:spacing w:before="240" w:after="240"/>
        <w:rPr>
          <w:lang w:val="el" w:eastAsia="el"/>
        </w:rPr>
      </w:pPr>
      <w:r>
        <w:rPr>
          <w:lang w:val="el" w:eastAsia="el"/>
        </w:rPr>
        <w:t>5.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Ως μέσο επιτόκιο αγοράς, για την εφαρμογή της παραγράφου 3 του άρθρου 13 του ν.4172/2013, λαμβάνεται το επιτόκιο των τραπεζικών δανείων σε ευρώ, προς ιδιώτες, με τη μεθοδολογία που ορίζεται από την Τράπεζα της Ελλάδας ανά μήνα, ανά κατηγορία και ανά υποκατηγορία δανείου. Αναλυτικότερα, προκειμένου για συμβάσεις καταναλωτικών, στεγαστικών, ανοιχτών δανείων και υπεραναλήψεων από τρεχούμενους λογαριασμούς λαμβάνεται το επιτόκιο της αντίστοιχης κατηγορίας και υποκατηγορίας δανείου όπως ορίζεται από την Τράπεζα της Ελλάδας, για τον μήνα κατά τον οποίο ελήφθη η παροχή. Για συμβάσεις λοιπών δανείων, λαμβάνεται το επιτόκιο κατ’ αναλογία των όσων ισχύουν για τα καταναλωτικά δάνεια. Αν σε κάποια από τις υποκατηγορίες δανείων δεν ορίζεται επιτόκιο για τον μήνα που ελήφθη η παροχή, λαμβάνεται υπόψη ο μέσος όρος των επιτοκίων της αντίστοιχης κατηγορίας δανείου για τον ίδιο μήνα. Σε περίπτωση προκαταβολής μισθού άνω των τριών μηνών, ως επιτόκιο λαμβάνεται το χαμηλότερο από τα επιτόκια κάθε κατηγορίας δανείου από αυτές που περιγράφονται παραπάνω, όπως ισχύουν κατά το μήνα χορήγησης της προκαταβολής. Σε περίπτωση που στη σύμβαση δανείου δεν αναγράφεται συγκεκριμένος σκοπός, ως επιτόκιο λαμβάνεται το επιτόκιο που ορίζει η Τράπεζα της Ελλάδας για τις υπεραναλήψεις από τρεχούμενους λογαριασμούς για τον μήνα κατά τον οποίο ελήφθη η παροχή.</w:t>
      </w:r>
    </w:p>
    <w:p>
      <w:pPr>
        <w:spacing w:before="240" w:after="240"/>
        <w:rPr>
          <w:lang w:val="el" w:eastAsia="el"/>
        </w:rPr>
      </w:pPr>
      <w:r>
        <w:rPr>
          <w:lang w:val="el" w:eastAsia="el"/>
        </w:rPr>
        <w:t>2. H παρούσα ισχύει για εισοδήματα που αποκτώνται από 1/1/2014 και μετά. 3. Η απόφαση αυτή να δημοσιευτεί στην Εφημερίδα της Κυβερνήσεως.</w:t>
      </w:r>
    </w:p>
    <w:p>
      <w:pPr>
        <w:spacing w:before="240" w:after="240"/>
        <w:rPr>
          <w:lang w:val="el" w:eastAsia="el"/>
        </w:rPr>
      </w:pPr>
      <w:r>
        <w:rPr>
          <w:b/>
          <w:bCs/>
          <w:lang w:val="el" w:eastAsia="el"/>
        </w:rPr>
        <w:t>Ο Υ Φ Υ Π Ο Υ Ρ Γ Ο Σ</w:t>
      </w:r>
    </w:p>
    <w:p>
      <w:pPr>
        <w:spacing w:before="240" w:after="240"/>
        <w:rPr>
          <w:lang w:val="el" w:eastAsia="el"/>
        </w:rPr>
      </w:pPr>
      <w:r>
        <w:rPr>
          <w:b/>
          <w:bCs/>
          <w:lang w:val="el" w:eastAsia="el"/>
        </w:rPr>
        <w:t>ΓΕΩΡΓΙΟΣ ΜΑΥΡΑΓΑΝΗΣ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w:t>
      </w:r>
    </w:p>
    <w:p>
      <w:pPr>
        <w:spacing w:before="240" w:after="240"/>
        <w:rPr>
          <w:lang w:val="el" w:eastAsia="el"/>
        </w:rPr>
      </w:pPr>
      <w:r>
        <w:rPr>
          <w:lang w:val="el" w:eastAsia="el"/>
        </w:rPr>
        <w:t>1 .ΠΙΝΑΚΕΣ Α΄- ΚΓ΄</w:t>
      </w:r>
    </w:p>
    <w:p>
      <w:pPr>
        <w:spacing w:before="240" w:after="240"/>
        <w:rPr>
          <w:lang w:val="el" w:eastAsia="el"/>
        </w:rPr>
      </w:pPr>
      <w:r>
        <w:rPr>
          <w:lang w:val="el" w:eastAsia="el"/>
        </w:rPr>
        <w:t xml:space="preserve">2 </w:t>
      </w:r>
      <w:r>
        <w:rPr>
          <w:b/>
          <w:bCs/>
          <w:lang w:val="el" w:eastAsia="el"/>
        </w:rPr>
        <w:t>.</w:t>
      </w:r>
      <w:r>
        <w:rPr>
          <w:lang w:val="el" w:eastAsia="el"/>
        </w:rPr>
        <w:t>Εθνικό Τυπογραφείο (για δημοσίευση στην Εφημερίδα της Κυβερνήσεως).</w:t>
      </w:r>
    </w:p>
    <w:p>
      <w:pPr>
        <w:spacing w:before="240" w:after="240"/>
        <w:rPr>
          <w:lang w:val="el" w:eastAsia="el"/>
        </w:rPr>
      </w:pPr>
      <w:r>
        <w:rPr>
          <w:b/>
          <w:bCs/>
          <w:u w:val="single"/>
          <w:lang w:val="el" w:eastAsia="el"/>
        </w:rPr>
        <w:t>ΙΙ. ΕΣΩΤΕΡΙΚΗ ΔΙΑΝΟΜΗ</w:t>
      </w:r>
    </w:p>
    <w:p>
      <w:pPr>
        <w:spacing w:before="240" w:after="240"/>
        <w:rPr>
          <w:lang w:val="el" w:eastAsia="el"/>
        </w:rPr>
      </w:pPr>
      <w:r>
        <w:rPr>
          <w:lang w:val="el" w:eastAsia="el"/>
        </w:rPr>
        <w:t>1. Γραφείο κ. Υφυπουργού</w:t>
      </w:r>
    </w:p>
    <w:p>
      <w:pPr>
        <w:spacing w:before="240" w:after="240"/>
        <w:rPr>
          <w:lang w:val="el" w:eastAsia="el"/>
        </w:rPr>
      </w:pPr>
      <w:r>
        <w:rPr>
          <w:lang w:val="el" w:eastAsia="el"/>
        </w:rPr>
        <w:t>2. Γραφείο κ. Γεν. Γραμματέα Δημοσίων Εσόδων</w:t>
      </w:r>
    </w:p>
    <w:p>
      <w:pPr>
        <w:spacing w:before="240" w:after="240"/>
        <w:rPr>
          <w:lang w:val="el" w:eastAsia="el"/>
        </w:rPr>
      </w:pPr>
      <w:r>
        <w:rPr>
          <w:lang w:val="el" w:eastAsia="el"/>
        </w:rPr>
        <w:t>3. Γραφεία κ.κ. Γεν. Δ/ντών</w:t>
      </w:r>
    </w:p>
    <w:p>
      <w:pPr>
        <w:spacing w:before="240" w:after="240"/>
        <w:rPr>
          <w:lang w:val="el" w:eastAsia="el"/>
        </w:rPr>
      </w:pPr>
      <w:r>
        <w:rPr>
          <w:lang w:val="el" w:eastAsia="el"/>
        </w:rPr>
        <w:t>4. Όλες τις Δ/νσεις Φορολογίας - Τμήματα και Αυτοτελή Γραφεία</w:t>
      </w:r>
    </w:p>
    <w:p>
      <w:pPr>
        <w:spacing w:before="240" w:after="240"/>
        <w:rPr>
          <w:lang w:val="el" w:eastAsia="el"/>
        </w:rPr>
      </w:pPr>
      <w:r>
        <w:rPr>
          <w:lang w:val="el" w:eastAsia="el"/>
        </w:rPr>
        <w:t>5. Γραφείο Επικοινωνίας και Πληροφόρησης Πολιτών</w:t>
      </w:r>
    </w:p>
    <w:p>
      <w:pPr>
        <w:spacing w:before="240" w:after="240"/>
        <w:rPr>
          <w:lang w:val="el" w:eastAsia="el"/>
        </w:rPr>
      </w:pPr>
      <w:r>
        <w:rPr>
          <w:lang w:val="el" w:eastAsia="el"/>
        </w:rPr>
        <w:t>6. Γραφείο Τύπου και Δημοσίων Σχέσεων (5 αντίγραφα)</w:t>
      </w:r>
    </w:p>
    <w:p>
      <w:pPr>
        <w:spacing w:before="240" w:after="240"/>
        <w:rPr>
          <w:lang w:val="el" w:eastAsia="el"/>
        </w:rPr>
      </w:pPr>
      <w:r>
        <w:rPr>
          <w:lang w:val="el" w:eastAsia="el"/>
        </w:rPr>
        <w:t>7. Δ/νση 12η Φορολογίας Εισοδήματος</w:t>
      </w:r>
    </w:p>
    <w:p>
      <w:pPr>
        <w:pStyle w:val="StructureList1"/>
        <w:spacing w:before="120" w:after="0"/>
        <w:rPr>
          <w:lang w:val="el" w:eastAsia="el"/>
        </w:rPr>
      </w:pPr>
      <w:r>
        <w:rPr>
          <w:lang w:val="el" w:eastAsia="el"/>
        </w:rPr>
        <w:t>α)</w:t>
      </w:r>
      <w:r>
        <w:rPr>
          <w:lang w:val="en" w:eastAsia="en"/>
        </w:rPr>
        <w:tab/>
      </w:r>
      <w:r>
        <w:rPr>
          <w:lang w:val="el" w:eastAsia="el"/>
        </w:rPr>
        <w:t>Γραφείο κ. Δ/ντή</w:t>
      </w:r>
    </w:p>
    <w:p>
      <w:pPr>
        <w:pStyle w:val="StructureList1"/>
        <w:spacing w:before="120" w:after="0"/>
        <w:rPr>
          <w:lang w:val="el" w:eastAsia="el"/>
        </w:rPr>
      </w:pPr>
      <w:r>
        <w:rPr>
          <w:lang w:val="el" w:eastAsia="el"/>
        </w:rPr>
        <w:t>β)</w:t>
      </w:r>
      <w:r>
        <w:rPr>
          <w:lang w:val="en" w:eastAsia="en"/>
        </w:rPr>
        <w:tab/>
      </w:r>
      <w:r>
        <w:rPr>
          <w:lang w:val="el" w:eastAsia="el"/>
        </w:rPr>
        <w:t>Τμήμα Α' (10 αντίγραφα)</w:t>
      </w:r>
    </w:p>
    <w:p>
      <w:pPr>
        <w:pStyle w:val="StructureList1"/>
        <w:spacing w:before="120" w:after="0"/>
        <w:rPr>
          <w:lang w:val="el" w:eastAsia="el"/>
        </w:rPr>
      </w:pPr>
      <w:r>
        <w:rPr>
          <w:lang w:val="el" w:eastAsia="el"/>
        </w:rPr>
        <w:t>γ)</w:t>
      </w:r>
      <w:r>
        <w:rPr>
          <w:lang w:val="en" w:eastAsia="en"/>
        </w:rPr>
        <w:tab/>
      </w:r>
      <w:r>
        <w:rPr>
          <w:lang w:val="el" w:eastAsia="el"/>
        </w:rPr>
        <w:t>Τμήμα Β' (3 αντίγραφα)</w:t>
      </w:r>
    </w:p>
    <w:p>
      <w:pPr>
        <w:pStyle w:val="StructureList1"/>
        <w:spacing w:before="120" w:after="0"/>
        <w:rPr>
          <w:lang w:val="el" w:eastAsia="el"/>
        </w:rPr>
      </w:pPr>
      <w:r>
        <w:rPr>
          <w:lang w:val="el" w:eastAsia="el"/>
        </w:rPr>
        <w:t>δ)</w:t>
      </w:r>
      <w:r>
        <w:rPr>
          <w:lang w:val="en" w:eastAsia="en"/>
        </w:rPr>
        <w:tab/>
      </w:r>
      <w:r>
        <w:rPr>
          <w:lang w:val="el" w:eastAsia="el"/>
        </w:rPr>
        <w:t>Τμήμα Γ’ (1 αντίγραφα)</w:t>
      </w:r>
    </w:p>
    <w:p>
      <w:pPr>
        <w:spacing w:before="240" w:after="240"/>
        <w:rPr>
          <w:lang w:val="el" w:eastAsia="el"/>
        </w:rPr>
      </w:pPr>
      <w:r>
        <w:rPr>
          <w:lang w:val="el" w:eastAsia="el"/>
        </w:rPr>
        <w:t>8. Δ/νση Ηλεκτρονικής Διακυβέρνησης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