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 ΥΠΟΥΡΓΕΙΟ ΟΙΚΟΝΟΜΙΚΩΝ</w:t>
      </w:r>
    </w:p>
    <w:p>
      <w:pPr>
        <w:spacing w:before="240" w:after="240"/>
        <w:rPr>
          <w:lang w:val="el" w:eastAsia="el"/>
        </w:rPr>
      </w:pPr>
      <w:r>
        <w:rPr>
          <w:lang w:val="el" w:eastAsia="el"/>
        </w:rPr>
        <w:t>ΓΕΝΙΚΗ ΓΡΑΜΜΑΤΕΙΑ ΦΟΡΟΛΟΓΙΚΩΝ</w:t>
      </w:r>
    </w:p>
    <w:p>
      <w:pPr>
        <w:spacing w:before="240" w:after="240"/>
        <w:rPr>
          <w:lang w:val="el" w:eastAsia="el"/>
        </w:rPr>
      </w:pPr>
      <w:r>
        <w:rPr>
          <w:lang w:val="el" w:eastAsia="el"/>
        </w:rPr>
        <w:t>&amp; ΤΕΛΩΝΕΙΑΚΩΝ ΘΕΜΑΤΩΝ</w:t>
      </w:r>
    </w:p>
    <w:p>
      <w:pPr>
        <w:spacing w:before="240" w:after="240"/>
        <w:rPr>
          <w:lang w:val="el" w:eastAsia="el"/>
        </w:rPr>
      </w:pPr>
      <w:r>
        <w:rPr>
          <w:lang w:val="el" w:eastAsia="el"/>
        </w:rPr>
        <w:t>ΓΕΝΙΚΗ ΔΙΕΥΘΥΝΣΗ ΦΟΡΟΛΟΓΙΑΣ ΔΙΕΥΘΥΝΣΗ ΒΙΒΛΙΩΝ &amp; ΣΤΟΙΧΕΙΩΝ (15</w:t>
      </w:r>
      <w:r>
        <w:rPr>
          <w:sz w:val="30"/>
          <w:szCs w:val="30"/>
          <w:vertAlign w:val="superscript"/>
          <w:lang w:val="el" w:eastAsia="el"/>
        </w:rPr>
        <w:t>η</w:t>
      </w:r>
      <w:r>
        <w:rPr>
          <w:lang w:val="el" w:eastAsia="el"/>
        </w:rPr>
        <w:t>) ΤΜΗΜΑ Γ΄</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Κωδ.: 101 84 ΑΘΗΝΑ</w:t>
      </w:r>
    </w:p>
    <w:p>
      <w:pPr>
        <w:spacing w:before="240" w:after="240"/>
        <w:rPr>
          <w:lang w:val="el" w:eastAsia="el"/>
        </w:rPr>
      </w:pPr>
      <w:r>
        <w:rPr>
          <w:lang w:val="el" w:eastAsia="el"/>
        </w:rPr>
        <w:t>Τηλέφωνο: 210-3640870</w:t>
      </w:r>
    </w:p>
    <w:p>
      <w:pPr>
        <w:spacing w:before="240" w:after="240"/>
        <w:rPr>
          <w:lang w:val="el" w:eastAsia="el"/>
        </w:rPr>
      </w:pPr>
      <w:r>
        <w:rPr>
          <w:lang w:val="el" w:eastAsia="el"/>
        </w:rPr>
        <w:t>FΑΧ: 210-3390882</w:t>
      </w:r>
    </w:p>
    <w:p>
      <w:pPr>
        <w:spacing w:before="240" w:after="240"/>
        <w:rPr>
          <w:lang w:val="el" w:eastAsia="el"/>
        </w:rPr>
      </w:pPr>
      <w:r>
        <w:rPr>
          <w:b/>
          <w:bCs/>
          <w:lang w:val="el" w:eastAsia="el"/>
        </w:rPr>
        <w:t>Θέμα: “</w:t>
      </w:r>
      <w:r>
        <w:rPr>
          <w:lang w:val="el" w:eastAsia="el"/>
        </w:rPr>
        <w:t>Υποχρέωση των κατόχων αδειών καταλληλότητας ΑΔΗΜΕ-Ταξιμέτρων, στα φορολογικά ταξίμετρα των οποίων παρατηρείται το φαινόμενο να επεμβαίνουν άτομα μη εξουσιοδοτημένα από τους κατασκευαστές, με αποτέλεσμα να δημιουργούνται προβλήματα, που έχουν άμεση σχέση με τη λειτουργία τους.”</w:t>
      </w:r>
    </w:p>
    <w:p>
      <w:pPr>
        <w:spacing w:before="240" w:after="240"/>
        <w:rPr>
          <w:lang w:val="el" w:eastAsia="el"/>
        </w:rPr>
      </w:pPr>
      <w:r>
        <w:rPr>
          <w:b/>
          <w:bCs/>
          <w:lang w:val="el" w:eastAsia="el"/>
        </w:rPr>
        <w:t>Α Π Ο Φ Α Σ Η Ο ΓΕΝΙΚΟΣ ΓΡΑΜΜΑΤΕΑΣ ΤΗΣ ΓΕΝΙΚΗΣ ΓΡΑΜΜΑΤΕΙΑΣ ΔΗΜΟΣΙΩΝ 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της παραγράφου 1 άρθρου 1 του Ν.1809/1988 (ΦΕΚ 222 Α’) «Καθιέρωση Φορολογικών Μηχανισμών και άλλες διατάξεις», όπως ισχύουν.</w:t>
      </w:r>
    </w:p>
    <w:p>
      <w:pPr>
        <w:spacing w:before="240" w:after="240"/>
        <w:rPr>
          <w:lang w:val="el" w:eastAsia="el"/>
        </w:rPr>
      </w:pPr>
      <w:r>
        <w:rPr>
          <w:lang w:val="el" w:eastAsia="el"/>
        </w:rPr>
        <w:t>2. Τις διατάξεις της Α.Υ.Ο.Ο. 1100772/1474/ 0015/ΠΟΛ 1135/26-10-2005 (ΦΕΚ 1592Β’)</w:t>
      </w:r>
    </w:p>
    <w:p>
      <w:pPr>
        <w:spacing w:before="240" w:after="240"/>
        <w:rPr>
          <w:lang w:val="el" w:eastAsia="el"/>
        </w:rPr>
      </w:pPr>
      <w:r>
        <w:rPr>
          <w:lang w:val="el" w:eastAsia="el"/>
        </w:rPr>
        <w:t>3. Τις διατάξεις της Α.Υ.Ο.Ο. 1081253/320/0015/ΠΟΛ 1234/9-10-2002 (ΦΕΚ1362Β΄)</w:t>
      </w:r>
    </w:p>
    <w:p>
      <w:pPr>
        <w:spacing w:before="240" w:after="240"/>
        <w:rPr>
          <w:lang w:val="el" w:eastAsia="el"/>
        </w:rPr>
      </w:pPr>
      <w:r>
        <w:rPr>
          <w:lang w:val="el" w:eastAsia="el"/>
        </w:rPr>
        <w:t>4. Τη θέση που διατύπωσε η αρμόδια Διακομματική Επιτροπή του άρθρου 7 του Ν. 1809/1988 (ΦΕΚ 222</w:t>
      </w:r>
      <w:r>
        <w:rPr>
          <w:sz w:val="30"/>
          <w:szCs w:val="30"/>
          <w:vertAlign w:val="superscript"/>
          <w:lang w:val="el" w:eastAsia="el"/>
        </w:rPr>
        <w:t>Α</w:t>
      </w:r>
      <w:r>
        <w:rPr>
          <w:lang w:val="el" w:eastAsia="el"/>
        </w:rPr>
        <w:t>΄) όπως ισχύει, στην συνεδρίασή της την 17/12/2013.</w:t>
      </w:r>
    </w:p>
    <w:p>
      <w:pPr>
        <w:spacing w:before="240" w:after="240"/>
        <w:rPr>
          <w:lang w:val="el" w:eastAsia="el"/>
        </w:rPr>
      </w:pPr>
      <w:r>
        <w:rPr>
          <w:lang w:val="el" w:eastAsia="el"/>
        </w:rPr>
        <w:t>5. Την ανάγκη περιστολής της φοροδιαφυγής και της διασφάλισης των συμφερόντων του Δημοσίου.</w:t>
      </w:r>
    </w:p>
    <w:p>
      <w:pPr>
        <w:spacing w:before="240" w:after="240"/>
        <w:rPr>
          <w:lang w:val="el" w:eastAsia="el"/>
        </w:rPr>
      </w:pPr>
      <w:r>
        <w:rPr>
          <w:lang w:val="el" w:eastAsia="el"/>
        </w:rPr>
        <w:t>6. Την αριθμ. Δ6Α 1196756 ΕΞ2013/23.11.2013 Απόφαση του Υπουργού Οικονομικών και του Υφυπουργού Οικονομικών «Συμπλήρωση της αριθ.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(ΦΕΚ 3317Β΄/27.12.2013)</w:t>
      </w:r>
    </w:p>
    <w:p>
      <w:pPr>
        <w:spacing w:before="240" w:after="240"/>
        <w:rPr>
          <w:lang w:val="el" w:eastAsia="el"/>
        </w:rPr>
      </w:pPr>
      <w:r>
        <w:rPr>
          <w:lang w:val="el" w:eastAsia="el"/>
        </w:rPr>
        <w:t>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Ορίζουμε την διαδικασία διασφάλισης της μη αποσύνδεσης της καλωδίωσης και την αποφυγή παρεμβάσεων στις ειδικές θύρες επικοινωνίας των ΑΔΗΜΕ–Ταξιμέτρων, οι οποίοι είναι σταθερά συνδεόμενοι φορολογικοί μηχανισμοί μέσω ειδικής θύρας με ήδη εγκαταστημένα ηλεκτρονικά ταξίμετρα, ως ακολούθως:</w:t>
      </w:r>
    </w:p>
    <w:p>
      <w:pPr>
        <w:spacing w:before="240" w:after="240"/>
        <w:rPr>
          <w:lang w:val="el" w:eastAsia="el"/>
        </w:rPr>
      </w:pPr>
      <w:r>
        <w:rPr>
          <w:lang w:val="el" w:eastAsia="el"/>
        </w:rPr>
        <w:t>1. Οι κάτοχοι των κάτωθι αδειών καταλληλότητας ΑΔΗΜΕ-Ταξιμέτρων</w:t>
      </w:r>
    </w:p>
    <w:p>
      <w:pPr>
        <w:spacing w:before="240" w:after="240"/>
        <w:rPr>
          <w:lang w:val="el" w:eastAsia="el"/>
        </w:rPr>
      </w:pPr>
      <w:r>
        <w:rPr>
          <w:lang w:val="el" w:eastAsia="el"/>
        </w:rPr>
        <w:t>με αριθμό έγκρισης 15ΤΞΒ289/31.10.2003</w:t>
      </w:r>
    </w:p>
    <w:p>
      <w:pPr>
        <w:spacing w:before="240" w:after="240"/>
        <w:rPr>
          <w:lang w:val="el" w:eastAsia="el"/>
        </w:rPr>
      </w:pPr>
      <w:r>
        <w:rPr>
          <w:lang w:val="el" w:eastAsia="el"/>
        </w:rPr>
        <w:t>με αριθμό έγκρισης 15ΤΞΗ454/19.7.2010</w:t>
      </w:r>
    </w:p>
    <w:p>
      <w:pPr>
        <w:spacing w:before="240" w:after="240"/>
        <w:rPr>
          <w:lang w:val="el" w:eastAsia="el"/>
        </w:rPr>
      </w:pPr>
      <w:r>
        <w:rPr>
          <w:lang w:val="el" w:eastAsia="el"/>
        </w:rPr>
        <w:t>Γ)Τύπος Φ.Η.Μ. «SIK-FISK» με αριθμό έγκρισης 15ΤΞΔ292/31.10.2003</w:t>
      </w:r>
    </w:p>
    <w:p>
      <w:pPr>
        <w:spacing w:before="240" w:after="240"/>
        <w:rPr>
          <w:lang w:val="el" w:eastAsia="el"/>
        </w:rPr>
      </w:pPr>
      <w:r>
        <w:rPr>
          <w:lang w:val="el" w:eastAsia="el"/>
        </w:rPr>
        <w:t>Δ)Τύπος Φ.Η.Μ. «SIK-FISK Plus» με αριθμό έγκρισης 15ΤΞΝ484/7.12.2011</w:t>
      </w:r>
    </w:p>
    <w:p>
      <w:pPr>
        <w:spacing w:before="240" w:after="240"/>
        <w:rPr>
          <w:lang w:val="el" w:eastAsia="el"/>
        </w:rPr>
      </w:pPr>
      <w:r>
        <w:rPr>
          <w:lang w:val="el" w:eastAsia="el"/>
        </w:rPr>
        <w:t>υποχρεούνται να προβούν στην σφράγιση της σειριακής θύρας (RS232,ΘΑΦΜ). Η συγκεκριμένη θύρα προορίζεται για την ανάγνωση των δεδομένων της φορολογικής μνήμης, επίσης μέσω της ιδίας θύρας είναι δυνατή η διασύνδεση της ΑΔΗΜΕ Ταξιμέτρου με Η/Υ για τη διενέργεια των προγραμματισμών και των επεμβάσεων εξουσιοδοτημένου τεχνικού.</w:t>
      </w:r>
    </w:p>
    <w:p>
      <w:pPr>
        <w:spacing w:before="240" w:after="240"/>
        <w:rPr>
          <w:lang w:val="el" w:eastAsia="el"/>
        </w:rPr>
      </w:pPr>
      <w:r>
        <w:rPr>
          <w:lang w:val="el" w:eastAsia="el"/>
        </w:rPr>
        <w:t>Επίσης το καλώδιο που συνδέει την Ειδική Θύρα Εισαγωγής Δεδομένων (ΕΘΕΔ) με το ηλεκτρονικό ταξίμετρο (με τα δεδομένα διαμόρφωσης της απόδειξης εσόδου και την ηλεκτρική τροφοδοσία) να βρίσκεται σταθερά και μόνιμα συνδεδεμένο τόσο με το ταξίμετρο (σύμφωνα με την κείμενη νομοθεσία περί ηλεκτρονικών ταξιμέτρων) όσο και με την ΑΔΗΜΕ-Ταξιμέτρου.</w:t>
      </w:r>
    </w:p>
    <w:p>
      <w:pPr>
        <w:spacing w:before="240" w:after="240"/>
        <w:rPr>
          <w:lang w:val="el" w:eastAsia="el"/>
        </w:rPr>
      </w:pPr>
      <w:r>
        <w:rPr>
          <w:lang w:val="el" w:eastAsia="el"/>
        </w:rPr>
        <w:t>2. Τονίζεται ιδιαίτερα ότι την ανωτέρω υποχρέωση έχουν όλοι οι κάτοχοι αδειών καταλληλότητας ΑΔΗΜΕ – Ταξιμέτρων , οι οποίοι είναι σταθερά συνδεόμενοι φορολογικοί μηχανισμοί μέσω ειδικής θύρας με ήδη εγκαταστημένα ηλεκτρονικά ταξίμετρα, στις ΑΔΗΜΕ των οποίων υπάρχει η δυνατότητα επέμβασης στη Θύρα Ανάγνωσης Δεδομένων Φορολογικής Μνήμης (ΘΑΦΜ) με όποια μέσα, καθώς επίσης υπάρχει η δυνατότητα επέμβασης στις συνδεσμολογίες και στις διατάξεις του καλωδίου που συνδέει την Ειδική Θύρα Εισαγωγής Δεδομένων (ΕΘΕΔ) με το ηλεκτρονικό ταξίμετρο με αποτέλεσμα να δημιουργούνται προβλήματα, που έχουν άμεση σχέση με λειτουργία της ΑΔΗΜΕ και της διαδικασίας έκδοσης αποδείξεων.</w:t>
      </w:r>
    </w:p>
    <w:p>
      <w:pPr>
        <w:spacing w:before="240" w:after="240"/>
        <w:rPr>
          <w:lang w:val="el" w:eastAsia="el"/>
        </w:rPr>
      </w:pPr>
      <w:r>
        <w:rPr>
          <w:lang w:val="el" w:eastAsia="el"/>
        </w:rPr>
        <w:t>3. H σφράγιση της Θύρας Ανάγνωσης Δεδομένων Φορολογικής Μνήμης (ΘΑΦΜ) γίνεται με τέτοιο τρόπο ούτως ώστε η επέμβαση σε αυτή με όποια μέσα δύνανται να επηρεάζουν την ορθή λειτουργία της ΑΔΗΜΕ-Ταξιμέτρου, να είναι αδύνατη.</w:t>
      </w:r>
    </w:p>
    <w:p>
      <w:pPr>
        <w:spacing w:before="240" w:after="240"/>
        <w:rPr>
          <w:lang w:val="el" w:eastAsia="el"/>
        </w:rPr>
      </w:pPr>
      <w:r>
        <w:rPr>
          <w:lang w:val="el" w:eastAsia="el"/>
        </w:rPr>
        <w:t>Επίσης το καλώδιο που συνδέει την Ειδική Θύρα Εισαγωγής Δεδομένων (ΕΘΕΔ) με το ηλεκτρονικό ταξίμετρο βρίσκεται σταθερά και μόνιμα συνδεδεμένο τόσο με το ταξίμετρο όσο και με την ΑΔΗΜΕ-Ταξιμέτρου με τέτοιο τρόπο ώστε η όποια επέμβαση στις καλωδιώσεις, στις συνδεσμολογίες και στις διατάξεις που δύνανται να επηρεάζουν την ορθή λειτουργία της ΑΔΗΜΕ-Ταξιμέτρου, να είναι αδύνατη.</w:t>
      </w:r>
    </w:p>
    <w:p>
      <w:pPr>
        <w:spacing w:before="240" w:after="240"/>
        <w:rPr>
          <w:lang w:val="el" w:eastAsia="el"/>
        </w:rPr>
      </w:pPr>
      <w:r>
        <w:rPr>
          <w:lang w:val="el" w:eastAsia="el"/>
        </w:rPr>
        <w:t>4. Η ανωτέρω διαδικασία εφαρμόζεται αναλόγως και στην περίπτωση πώλησης νέου φορολογικού μηχανισμού των ανωτέρω μοντέλων ΑΔΗΜΕ – Ταξιμέτρων.</w:t>
      </w:r>
    </w:p>
    <w:p>
      <w:pPr>
        <w:spacing w:before="240" w:after="240"/>
        <w:rPr>
          <w:lang w:val="el" w:eastAsia="el"/>
        </w:rPr>
      </w:pPr>
      <w:r>
        <w:rPr>
          <w:lang w:val="el" w:eastAsia="el"/>
        </w:rPr>
        <w:t>5. Περαιτέρω σε κάθε περίπτωση διακοπή της ηλεκτρικής τροφοδοσίας κατά την λειτουργία της ΑΔΗΜΕ Ταξιμέτρου, (ακόμα και όταν βρίσκεται σε κατάσταση έκδοσης δελτίων) θα πρέπει να εκτυπώνεται το μήνυμα « Διακοπή Ηλεκτρικής Τροφοδοσίας», να καταγράφεται στο επόμενο δελτίο ημερήσιας κίνησης «Ζ» και συνακόλουθα στη φορολογική μνήμη ως «Αποσύνδεση» (από το διασυνδεόμενο ηλεκτρονικό ταξίμετρο).</w:t>
      </w:r>
    </w:p>
    <w:p>
      <w:pPr>
        <w:spacing w:before="240" w:after="240"/>
        <w:rPr>
          <w:lang w:val="el" w:eastAsia="el"/>
        </w:rPr>
      </w:pPr>
      <w:r>
        <w:rPr>
          <w:lang w:val="el" w:eastAsia="el"/>
        </w:rPr>
        <w:t>6. Η αποσφράγιση της μηχανής, όταν αυτό κριθεί απαραίτητο, γίνεται στο χώρο συντήρησης ή επισκευής από την επιχείρηση που έχει λάβει την άδεια καταλληλότητας η από εξουσιοδοτημένο τεχνικό αντιπρόσωπό της, καθώς και η επανασφράγισή της όταν εκλείψει ο λόγος της αποσφράγισης.</w:t>
      </w:r>
    </w:p>
    <w:p>
      <w:pPr>
        <w:spacing w:before="240" w:after="240"/>
        <w:rPr>
          <w:lang w:val="el" w:eastAsia="el"/>
        </w:rPr>
      </w:pPr>
      <w:r>
        <w:rPr>
          <w:lang w:val="el" w:eastAsia="el"/>
        </w:rPr>
        <w:t>Διευκρινίζεται ότι ο εξουσιοδοτημένος τεχνικός, μετά από κάθε αποσφράγιση και επανασφράγιση, πρέπει να ενημερώνει το βιβλιάριο συντήρησης και να αναγράφει ευκρινώς τα ατομικά του στοιχεία (ονοματεπώνυμο, αριθμό ταυτότητας) ως και τον αριθμό σφραγίδας (ζουμπά) θέτοντας παράλληλα την υπογραφή του και τη σφραγίδα της επιχείρησης, η οποία έχει εξουσιοδοτηθεί για την επισκευή και συντήρηση των συγκεκριμένων τύπων Φ.Η.Μ., όπως το συνημμένο υπόδειγμα.</w:t>
      </w:r>
    </w:p>
    <w:p>
      <w:pPr>
        <w:spacing w:before="240" w:after="240"/>
        <w:rPr>
          <w:lang w:val="el" w:eastAsia="el"/>
        </w:rPr>
      </w:pPr>
      <w:r>
        <w:rPr>
          <w:lang w:val="el" w:eastAsia="el"/>
        </w:rPr>
        <w:t>7. Για όσους εκμεταλλευτές ΕΔΧ αυτοκινήτων (Ταξί) απαιτείται να προσαρμόσουν τις χρησιμοποιούμενες φ.τ.μ, ώστε να δύνανται να ανταποκριθούν στην απαίτηση των διατάξεων της απόφασης αυτής, υποχρεούνται να έχουν ολοκληρώσει τις σχετικές διαδικασίες μέχρι 30-4-2014.</w:t>
      </w:r>
    </w:p>
    <w:p>
      <w:pPr>
        <w:spacing w:before="240" w:after="240"/>
        <w:rPr>
          <w:lang w:val="el" w:eastAsia="el"/>
        </w:rPr>
      </w:pPr>
      <w:r>
        <w:rPr>
          <w:lang w:val="el" w:eastAsia="el"/>
        </w:rPr>
        <w:t>8. Μη συμμορφούμενοι φορολογικοί μηχανισμοί με τις απαιτήσεις των ανωτέρων παραγράφων δεν επιτρέπεται να χρησιμοποιούνται ούτε να διατίθενται προς πώληση ή χρήση.</w:t>
      </w:r>
    </w:p>
    <w:p>
      <w:pPr>
        <w:spacing w:before="240" w:after="240"/>
        <w:rPr>
          <w:lang w:val="el" w:eastAsia="el"/>
        </w:rPr>
      </w:pPr>
      <w:r>
        <w:rPr>
          <w:lang w:val="el" w:eastAsia="el"/>
        </w:rPr>
        <w:t>9. Η απόφαση αυτή να δημοσιευτεί στην Εφημερίδα της Κυβερνήσεως.</w:t>
      </w:r>
    </w:p>
    <w:p>
      <w:pPr>
        <w:spacing w:before="240" w:after="240"/>
        <w:rPr>
          <w:lang w:val="el" w:eastAsia="el"/>
        </w:rPr>
      </w:pPr>
      <w:r>
        <w:rPr>
          <w:lang w:val="el" w:eastAsia="el"/>
        </w:rPr>
        <w:t>Ακριβές Αντίγραφο Ο ΓΕΝΙΚΟΣ ΓΡΑΜΜΑΤΕΑΣ ΔΗΜΟΣΙΩΝ ΕΛΕΓΧΩΝ Προϊστάμενος της Γραμματείας ΘΕΟΧΑΡΗΣ ΘΕΟΧΑΡΗΣ</w:t>
      </w:r>
    </w:p>
    <w:p>
      <w:pPr>
        <w:spacing w:before="240" w:after="240"/>
        <w:rPr>
          <w:lang w:val="el" w:eastAsia="el"/>
        </w:rPr>
      </w:pPr>
      <w:r>
        <w:rPr>
          <w:lang w:val="el" w:eastAsia="el"/>
        </w:rPr>
        <w:t>ΣΥΝΗΜΜΕΝΑ : ένα (1) φύλλο</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ΠΡΟΣ ΕΝΕΡΓΕΙΑ</w:t>
      </w:r>
    </w:p>
    <w:p>
      <w:pPr>
        <w:spacing w:before="240" w:after="240"/>
        <w:rPr>
          <w:lang w:val="el" w:eastAsia="el"/>
        </w:rPr>
      </w:pPr>
      <w:r>
        <w:rPr>
          <w:lang w:val="el" w:eastAsia="el"/>
        </w:rPr>
        <w:t>1. Δημόσιες Οικονομικές Υπηρεσίες</w:t>
      </w:r>
    </w:p>
    <w:p>
      <w:pPr>
        <w:spacing w:before="240" w:after="240"/>
        <w:rPr>
          <w:lang w:val="el" w:eastAsia="el"/>
        </w:rPr>
      </w:pPr>
      <w:r>
        <w:rPr>
          <w:lang w:val="el" w:eastAsia="el"/>
        </w:rPr>
        <w:t>2. Οικονομικές Επιθεωρήσεις – Όλους τους Επιθεωρητές στις έδρες τους.</w:t>
      </w:r>
    </w:p>
    <w:p>
      <w:pPr>
        <w:spacing w:before="240" w:after="240"/>
        <w:rPr>
          <w:lang w:val="el" w:eastAsia="el"/>
        </w:rPr>
      </w:pPr>
      <w:r>
        <w:rPr>
          <w:lang w:val="el" w:eastAsia="el"/>
        </w:rPr>
        <w:t>3. Κεντρική Υπηρεσία Σ.Δ.Ο.Ε και τις</w:t>
      </w:r>
    </w:p>
    <w:p>
      <w:pPr>
        <w:spacing w:before="240" w:after="240"/>
        <w:rPr>
          <w:lang w:val="el" w:eastAsia="el"/>
        </w:rPr>
      </w:pPr>
      <w:r>
        <w:rPr>
          <w:lang w:val="el" w:eastAsia="el"/>
        </w:rPr>
        <w:t>Περιφερειακές Δ/νσεις της</w:t>
      </w:r>
    </w:p>
    <w:p>
      <w:pPr>
        <w:spacing w:before="240" w:after="240"/>
        <w:rPr>
          <w:lang w:val="el" w:eastAsia="el"/>
        </w:rPr>
      </w:pPr>
      <w:r>
        <w:rPr>
          <w:lang w:val="el" w:eastAsia="el"/>
        </w:rPr>
        <w:t>4. Γενική Γραμματεία Πληροφοριακών Συστημάτων</w:t>
      </w:r>
    </w:p>
    <w:p>
      <w:pPr>
        <w:spacing w:before="240" w:after="240"/>
        <w:rPr>
          <w:lang w:val="el" w:eastAsia="el"/>
        </w:rPr>
      </w:pPr>
      <w:r>
        <w:rPr>
          <w:lang w:val="el" w:eastAsia="el"/>
        </w:rPr>
        <w:t>30</w:t>
      </w:r>
      <w:r>
        <w:rPr>
          <w:sz w:val="30"/>
          <w:szCs w:val="30"/>
          <w:vertAlign w:val="superscript"/>
          <w:lang w:val="el" w:eastAsia="el"/>
        </w:rPr>
        <w:t>η</w:t>
      </w:r>
      <w:r>
        <w:rPr>
          <w:lang w:val="el" w:eastAsia="el"/>
        </w:rPr>
        <w:t xml:space="preserve"> Δ/νση - TAXIS (Ομάδα Κ.Β.Σ)</w:t>
      </w:r>
    </w:p>
    <w:p>
      <w:pPr>
        <w:spacing w:before="240" w:after="240"/>
        <w:rPr>
          <w:lang w:val="el" w:eastAsia="el"/>
        </w:rPr>
      </w:pPr>
      <w:r>
        <w:rPr>
          <w:lang w:val="el" w:eastAsia="el"/>
        </w:rPr>
        <w:t>5. Εθνικό Τυπογραφείο ( για δημοσίευση )</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ΕΥΑΓΓΕΛΙΑ ΡΟΥΜΠΑΝΗ (GIGAFON)</w:t>
      </w:r>
    </w:p>
    <w:p>
      <w:pPr>
        <w:spacing w:before="240" w:after="240"/>
        <w:rPr>
          <w:lang w:val="el" w:eastAsia="el"/>
        </w:rPr>
      </w:pPr>
      <w:r>
        <w:rPr>
          <w:lang w:val="el" w:eastAsia="el"/>
        </w:rPr>
        <w:t>ΑΓ. ΠΑΡΑΣΚΕΥΗΣ 73 – 13562 ΑΓ. ΑΝΑΡΓΥΡΟΙ</w:t>
      </w:r>
    </w:p>
    <w:p>
      <w:pPr>
        <w:spacing w:before="240" w:after="240"/>
        <w:rPr>
          <w:lang w:val="el" w:eastAsia="el"/>
        </w:rPr>
      </w:pPr>
      <w:r>
        <w:rPr>
          <w:lang w:val="el" w:eastAsia="el"/>
        </w:rPr>
        <w:t>2. ΣΕΜΗΤΡΟΝ Α.Ε.</w:t>
      </w:r>
    </w:p>
    <w:p>
      <w:pPr>
        <w:spacing w:before="240" w:after="240"/>
        <w:rPr>
          <w:lang w:val="el" w:eastAsia="el"/>
        </w:rPr>
      </w:pPr>
      <w:r>
        <w:rPr>
          <w:lang w:val="el" w:eastAsia="el"/>
        </w:rPr>
        <w:t>ΒΙΠΕ ΣΙΝΔΟΥ,Τ.Θ. 175 -570 22 ΘΕΣΣΑΛΟΝΙΚΗ</w:t>
      </w:r>
    </w:p>
    <w:p>
      <w:pPr>
        <w:spacing w:before="240" w:after="240"/>
        <w:rPr>
          <w:lang w:val="el" w:eastAsia="el"/>
        </w:rPr>
      </w:pPr>
      <w:r>
        <w:rPr>
          <w:lang w:val="el" w:eastAsia="el"/>
        </w:rPr>
        <w:t>3. Π. ΘΕΟΔΟΣΙΟΥ ΕΠΕ</w:t>
      </w:r>
    </w:p>
    <w:p>
      <w:pPr>
        <w:spacing w:before="240" w:after="240"/>
        <w:rPr>
          <w:lang w:val="el" w:eastAsia="el"/>
        </w:rPr>
      </w:pPr>
      <w:r>
        <w:rPr>
          <w:lang w:val="el" w:eastAsia="el"/>
        </w:rPr>
        <w:t>Λ. ΑΘΗΝΩΝ 115 -104 47 ΑΘΗΝΑ</w:t>
      </w:r>
    </w:p>
    <w:p>
      <w:pPr>
        <w:spacing w:before="240" w:after="240"/>
        <w:rPr>
          <w:lang w:val="el" w:eastAsia="el"/>
        </w:rPr>
      </w:pPr>
      <w:r>
        <w:rPr>
          <w:lang w:val="el" w:eastAsia="el"/>
        </w:rPr>
        <w:t>4. ΜΕΝΟΥΝΟΣ ΑΝΔΡ. ΚΩΝ/ΝΟΣ</w:t>
      </w:r>
    </w:p>
    <w:p>
      <w:pPr>
        <w:spacing w:before="240" w:after="240"/>
        <w:rPr>
          <w:lang w:val="el" w:eastAsia="el"/>
        </w:rPr>
      </w:pPr>
      <w:r>
        <w:rPr>
          <w:lang w:val="el" w:eastAsia="el"/>
        </w:rPr>
        <w:t>ΚΑΡΥΩΝ 3 - 104 47 ΑΘΗΝΑ</w:t>
      </w:r>
    </w:p>
    <w:p>
      <w:pPr>
        <w:spacing w:before="240" w:after="240"/>
        <w:rPr>
          <w:lang w:val="el" w:eastAsia="el"/>
        </w:rPr>
      </w:pPr>
      <w:r>
        <w:rPr>
          <w:lang w:val="el" w:eastAsia="el"/>
        </w:rPr>
        <w:t>5. ΥΙΟΙ Γ. ΧΑΣΑΠΗ ΟΕ</w:t>
      </w:r>
    </w:p>
    <w:p>
      <w:pPr>
        <w:spacing w:before="240" w:after="240"/>
        <w:rPr>
          <w:lang w:val="el" w:eastAsia="el"/>
        </w:rPr>
      </w:pPr>
      <w:r>
        <w:rPr>
          <w:lang w:val="el" w:eastAsia="el"/>
        </w:rPr>
        <w:t>ΠΟΝΤΟΥ 56-ΠΕΡΙΟΧΗ Β΄ΚΤΕΟ – 54628 ΘΕΣΣΑΛΟΝΙΚΗ</w:t>
      </w:r>
    </w:p>
    <w:p>
      <w:pPr>
        <w:spacing w:before="240" w:after="240"/>
        <w:rPr>
          <w:lang w:val="el" w:eastAsia="el"/>
        </w:rPr>
      </w:pPr>
      <w:r>
        <w:rPr>
          <w:lang w:val="el" w:eastAsia="el"/>
        </w:rPr>
        <w:t>6. ΣΥΝΔΕΣΜΟΣ ΕΙΣΑΓΩΓΕΩΝ ΚΑΙ ΚΑΤΑΣΚΕΥΑΣΤΩΝ ΤΑΜΕΙΑΚΩΝ ΣΥΣΤΗΜΑΤΩΝ (ΣΕΚΤ)</w:t>
      </w:r>
    </w:p>
    <w:p>
      <w:pPr>
        <w:spacing w:before="240" w:after="240"/>
        <w:rPr>
          <w:lang w:val="el" w:eastAsia="el"/>
        </w:rPr>
      </w:pPr>
      <w:r>
        <w:rPr>
          <w:lang w:val="el" w:eastAsia="el"/>
        </w:rPr>
        <w:t>Λ. ΑΘΗΝΩΝ 165- 12461 ΧΑΪΔΑΡΙ</w:t>
      </w:r>
    </w:p>
    <w:p>
      <w:pPr>
        <w:spacing w:before="240" w:after="240"/>
        <w:rPr>
          <w:lang w:val="el" w:eastAsia="el"/>
        </w:rPr>
      </w:pPr>
      <w:r>
        <w:rPr>
          <w:lang w:val="el" w:eastAsia="el"/>
        </w:rPr>
        <w:t>7.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lang w:val="el" w:eastAsia="el"/>
        </w:rPr>
        <w:t>8.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κ.Γεν. Γραμματέα Δημοσίων Εσόδων.</w:t>
      </w:r>
    </w:p>
    <w:p>
      <w:pPr>
        <w:spacing w:before="240" w:after="240"/>
        <w:rPr>
          <w:lang w:val="el" w:eastAsia="el"/>
        </w:rPr>
      </w:pPr>
      <w:r>
        <w:rPr>
          <w:lang w:val="el" w:eastAsia="el"/>
        </w:rPr>
        <w:t>4. Γραφείο κ. Γεν. Γραμματέα της Γ.Γ.Π.Σ.</w:t>
      </w:r>
    </w:p>
    <w:p>
      <w:pPr>
        <w:spacing w:before="240" w:after="240"/>
        <w:rPr>
          <w:lang w:val="el" w:eastAsia="el"/>
        </w:rPr>
      </w:pPr>
      <w:r>
        <w:rPr>
          <w:lang w:val="el" w:eastAsia="el"/>
        </w:rPr>
        <w:t>5. Γραφείο κ. Ειδικού Γραμματέα Σ.Δ.Ο.Ε.</w:t>
      </w:r>
    </w:p>
    <w:p>
      <w:pPr>
        <w:spacing w:before="240" w:after="240"/>
        <w:rPr>
          <w:lang w:val="el" w:eastAsia="el"/>
        </w:rPr>
      </w:pPr>
      <w:r>
        <w:rPr>
          <w:lang w:val="el" w:eastAsia="el"/>
        </w:rPr>
        <w:t>6. Γραφεία κ. Γεν. Δ/ντών</w:t>
      </w:r>
    </w:p>
    <w:p>
      <w:pPr>
        <w:spacing w:before="240" w:after="240"/>
        <w:rPr>
          <w:lang w:val="el" w:eastAsia="el"/>
        </w:rPr>
      </w:pPr>
      <w:r>
        <w:rPr>
          <w:lang w:val="el" w:eastAsia="el"/>
        </w:rPr>
        <w:t>7. Γραφείο κ. Γεν. Δ/ντη Φορολογίας</w:t>
      </w:r>
    </w:p>
    <w:p>
      <w:pPr>
        <w:spacing w:before="240" w:after="240"/>
        <w:rPr>
          <w:lang w:val="el" w:eastAsia="el"/>
        </w:rPr>
      </w:pPr>
      <w:r>
        <w:rPr>
          <w:lang w:val="el" w:eastAsia="el"/>
        </w:rPr>
        <w:t>8. Γραφείο Επικοινωνίας και Πληροφόρησης Πολιτών</w:t>
      </w:r>
    </w:p>
    <w:p>
      <w:pPr>
        <w:spacing w:before="240" w:after="240"/>
        <w:rPr>
          <w:lang w:val="el" w:eastAsia="el"/>
        </w:rPr>
      </w:pPr>
      <w:r>
        <w:rPr>
          <w:lang w:val="el" w:eastAsia="el"/>
        </w:rPr>
        <w:t>9. Τράπεζα Δημοσιονομικών Δεδομένων</w:t>
      </w:r>
    </w:p>
    <w:p>
      <w:pPr>
        <w:spacing w:before="240" w:after="240"/>
        <w:rPr>
          <w:lang w:val="el" w:eastAsia="el"/>
        </w:rPr>
      </w:pPr>
      <w:r>
        <w:rPr>
          <w:lang w:val="el" w:eastAsia="el"/>
        </w:rPr>
        <w:t>10. Γραφείο Τύπου και Δημοσίων Σχέσεων</w:t>
      </w:r>
    </w:p>
    <w:p>
      <w:pPr>
        <w:spacing w:before="240" w:after="240"/>
        <w:rPr>
          <w:lang w:val="el" w:eastAsia="el"/>
        </w:rPr>
      </w:pPr>
      <w:r>
        <w:rPr>
          <w:lang w:val="el" w:eastAsia="el"/>
        </w:rPr>
        <w:t>11. Γεν. Δ/νση Οικονομικής Επιθεώρησης</w:t>
      </w:r>
    </w:p>
    <w:p>
      <w:pPr>
        <w:spacing w:before="240" w:after="240"/>
        <w:rPr>
          <w:lang w:val="el" w:eastAsia="el"/>
        </w:rPr>
      </w:pPr>
      <w:r>
        <w:rPr>
          <w:lang w:val="el" w:eastAsia="el"/>
        </w:rPr>
        <w:t>15</w:t>
      </w:r>
      <w:r>
        <w:rPr>
          <w:sz w:val="30"/>
          <w:szCs w:val="30"/>
          <w:vertAlign w:val="superscript"/>
          <w:lang w:val="el" w:eastAsia="el"/>
        </w:rPr>
        <w:t>η</w:t>
      </w:r>
      <w:r>
        <w:rPr>
          <w:lang w:val="el" w:eastAsia="el"/>
        </w:rPr>
        <w:t xml:space="preserve"> Δ/νση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Γραφείο Δ/ντή</w:t>
      </w:r>
    </w:p>
    <w:p>
      <w:pPr>
        <w:pStyle w:val="StructureList1"/>
        <w:spacing w:before="120" w:after="0"/>
        <w:rPr>
          <w:lang w:val="el" w:eastAsia="el"/>
        </w:rPr>
      </w:pPr>
      <w:r>
        <w:rPr>
          <w:lang w:val="el" w:eastAsia="el"/>
        </w:rPr>
        <w:t>β)</w:t>
      </w:r>
      <w:r>
        <w:rPr>
          <w:lang w:val="en" w:eastAsia="en"/>
        </w:rPr>
        <w:tab/>
      </w:r>
      <w:r>
        <w:rPr>
          <w:lang w:val="el" w:eastAsia="el"/>
        </w:rPr>
        <w:t>Τμήματα Α’- Β’- Γ’ (από 3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