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Υ9α/18265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Καθορισμός ύψους αμοιβής και αριθμού επισκέψεωντων συμβεβλημένων ιατρών με τον ΕΟΠΥΥ.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ΟΙΥΠΟΥΡΓΟΙΟΙΚΟΝΟΜΙΚΩΝ-ΥΓΕΙΑΣ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54 του Ν. 4223/2013, ενότητα 3 παρ. 1 (ΦΕΚ 287/Α’/31.12.2013) «Ενιαίος Φόρος Ιδιοκτησίας Ακινήτων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άρθρ. 17 του Ν. 3918/2011 (ΦΕΚ Α’ 31) «Διαρθρωτικές αλλαγές στο σύστημα υγείας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1558/85 «Κυβέρνηση και Κυβερνητικά Όργανα», (ΦΕΚ 137/τ.Α’/1985), όπως ισχύει σήμερα.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Π.Ν.Π., άρθρο 6 (ΦΕΚ 262/16-12-2011) «Κατεπείγοντα μέτρα εφαρμογής του Μεσοπρόθεσμου Πλαισίου Δημοσιονομικής Στρατηγικής 2012-2015 και του Κρατικού Προϋπολογισμού έτους 2011».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υπ’ αριθμ. 63/2005 Π.Δ. άρθρ. 90, (ΦΕΚ Α’ 98) «Κώδικας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υπ’ αριθμ. 95/2000 Π.Δ. (ΦΕΚ Α’ 76) «Οργανισμός του Υπουργείου Υγείας και Πρόνοιας», όπως έχει τροποποιηθεί και ισχύει σήμερα.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υπ’ αριθμ. 85/2012 Π.Δ. άρθρα 2 και 4, (ΦΕΚ Α’ 141) «Ίδρυση και μετονομασία Υπουργείων, μεταφορά και κατάργηση υπηρεσιών.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Π.Δ. 113/2010 «Ανάληψη υποχρεώσεων από τους Διατάκτες» (Α’ 194).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υπ’ αριθμ. 119/2013 (ΦΕΚ 153/τ.Α’/25-6-2013) Π.Δ. «Διορισμός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υπ’ αριθμ. 86/2012 (ΦΕΚ 141/Α’/2012) Π.Δ.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υπ’ αριθμ. Υ48/9-7-2012 απόφαση του Πρωθυπουργού (ΦΕΚ/2105/Β’/2012) «Καθορισμός αρμοδιοτήτων του Αναπληρωτή Υπουργού Οικονομικών Χρήστου Σταϊκούρα».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υπ’ αριθμ. 3402/3-7-2013 απόφαση του Πρωθυπουργού και του Υπουργού Υγείας (ΦΕΚ 1642/Β’/2013) «Ανάθεση αρμοδιοτήτων στον Υφυπουργό Υγείας Αντώνιο Μπέζα».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υπ’ αριθμ. Γ.Υ/οικ.6160/29-10-2013 (ΦΕΚ 2761/ Β’/30-10-2013), «Συμπλήρωση της υπ’ αριθμ. 3402/ 3-7-2013 απόφασης του Πρωθυπουργού και του Υπουργού Υγείας Ανάθεση αρμοδιοτήτων στον Υφυπουργό Υγείας Αντώνιο Μπέζα».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Η αριθμ. ΔΥ(3-4)Γ.Π.οικ 77618/16-8-2013 κοινή υπουργική απόφαση «Αναδιοργάνωση της Γενικής Δ/νσης Οικονομικών Υπηρεσιών του Υπουργείου Υγείας» (ΦΕΚ 2100/Β’/27-8-2013).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951/συν. 152/12-12-2013 απόφαση του Διοικητικού Συμβουλίου του ΕΟΠΥΥ με την οποία ενέκρινε ομόφωνα και αποφάσισε μεταξύ άλλων «...δ) την αύξηση του αριθμού των μηνιαίων επισκέψεων από 200 σε 400. Ο αριθμός των επισκέψεων μπορεί να τροποποιείται με απόφαση Υπουργών Υγείας και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από 13-2-2014 έγγραφο του Γραφείου Προέδρου. 17. Το γεγονός ότι από την παρούσα προκαλείται επιπρόσθετη δαπάνη ύψους 36.000.000 ευρώ περίπου σε βάρος του Προϋπολογισμού του ΕΟΠΥΥ. (ΚΑΕ0671).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Την υπ’ αριθμ. Φ1/18/24-2-2014 βεβαίωση δέσμευσης της σχετικής πίστωσης,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ανώτατος αριθμός των μηνιαίων επισκέψεων των συμβεβλημένων ιατρών με τον ΕΟΠΥΥ, αυξάνεται από διακόσιες (200) ανά μήνα σε τετρακόσιες (400) ανά μήνα από 1-12-2013 έως και 31-3-2014. Το ύψος της αποζημίωσης καθορίζεται σε δέκα € (10) ανά επίσκεψη. Για την αποζημίωση αυτή δεν επιβαρύνεται ο ΕΟΠΥΥ με εισφορές υπέρ ΤΣΑΥ.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προκύπτουσα δαπάνη που υπολογίζεται στο ποσό των 36.000.000,00 € περίπου θα βαρύνει τον προϋπολογισμό του ΕΟΠΥΥ και συγκεκριμένα τον ΚΑΕ 0671.00.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Φεβρουαρίου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 ΥΦΥΠΟΥΡΓΟΣ ΟΙΚΟΝΟΜΙΚΩΝ ΥΓΕΙΑΣ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ΧΡΗΣΤΟΣΣΤΑΪΚΟΥΡΑΣ ΑΝΤΩΝΙΟΣΜΠΕΖΑΣ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