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ΕΞΑΙΡΕΤΙΚΩΣ ΕΠΕΙΓΟΥΣΑ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14.3.2014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1074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Πληροφ. : 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–3645615/ 210-3645378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Τροποποίηση του χρόνου υποβολής των εκκαθαριστικών δηλώσεων Φ.Π.Α. έτους 2013 και εφεξής.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Κώδικα ΦΠΑ που κυρώθηκε με το ν.2859/2000 (ΦΕΚ 248 Α΄/7.11.2000),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1 περ. β΄ και της παρ. 11 περ. γ΄ του άρθρου 38, β)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1045/2012 (ΦΕΚ 565Β΄/2.3.2012).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Π.Δ. 185/2009 (ΦΕΚ 213 Α΄/7.10.2009)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υπ’ αριθμ. ΥΠΟΙΚ 07927 ΕΞ (ΦΕΚ 2574 Β΄/24.9.2012)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εξυπηρέτησης και διευκόλυνσης των υποκειμένων σε Φ.Π.Α. για την υποβολή των εκκαθαριστικών δηλώσεων έτους 2013 και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παράγραφος 1 του άρθρου 2 της ΑΥΟ ΠΟΛ 1045 2012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Η εκκαθαριστική δήλωση ΦΠΑ υποβάλλεται στη Δ.Ο.Υ. υποβολής της δήλωσης φορολογία εισοδήματος του υποκειμένου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α) Μέχρι την </w:t>
      </w:r>
      <w:r>
        <w:rPr>
          <w:b/>
          <w:bCs/>
          <w:lang w:val="el" w:eastAsia="el"/>
        </w:rPr>
        <w:t xml:space="preserve">30η Απριλίου του επόμενου έτους </w:t>
      </w:r>
      <w:r>
        <w:rPr>
          <w:lang w:val="el" w:eastAsia="el"/>
        </w:rPr>
        <w:t>για τους υποκείμενους που κατά τη λήξη της διαχειριστικής περιόδου τηρούσαν απλογραφικά βιβλία βάσει του ΚΦΑΣ (ν.4093/2012) ή δεν υποχρεούνται σε τήρηση βιβλίων του Κ.Β.Σ.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β) Μέχρι την </w:t>
      </w:r>
      <w:r>
        <w:rPr>
          <w:b/>
          <w:bCs/>
          <w:lang w:val="el" w:eastAsia="el"/>
        </w:rPr>
        <w:t>30η Μαΐου του επόμενου έτους</w:t>
      </w:r>
      <w:r>
        <w:rPr>
          <w:lang w:val="el" w:eastAsia="el"/>
        </w:rPr>
        <w:t>, για τους υποκείμενους που κατά τη λήξη της διαχειριστικής περιόδου τηρούσαν διπλογραφικά βιβλία βάσει του ΚΦΑΣ (ν.4093/2012), το Δημόσιο, καθώς και στην περίπτωση λήξης της διαχειριστικής περιόδου λόγω θανάτου φυσικού προσώπου.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Προκειμένου να είναι δυνατή η ηλεκτρονική υποβολή της εκκαθαριστικής δήλωσης θα πρέπει όλες οι περιοδικές δηλώσεις που αφορούν την διαχειριστική περίοδο να έχουν υποβληθεί πέντε εργάσιμες ημέρες πριν τις ανωτέρω καταληκτικές προθεσμίες.»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 ΠΡΟΪΣΤΑΜΕΝΟΣ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(e-εφαρμογές).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διαδίκτυο.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67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2 και 6.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26, 28, 29, 31, 32, 33, 37, 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Αν. Γενικού Δ/ντή Φορολογίας.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Ηλεκτρονικής Διακυβέρνησης (e-εφαρμογές)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Διεύθυνση Υποστήριξης Ηλεκτρονικά Συναλλασσομένων (e-υπηρεσίες)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