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3122.1/4704/06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Αποδοχή Εγγυητικής Επιστολής για την Εταιρεία URSA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S&amp;P S.A. που εδρεύει στη ΛΙΒΕΡΙΑ.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ΟΥΠΟΥΡΓΟΣΝΑΥΤΙΛΙΑΣΚΑΙΑΙΓΑΙΟΥ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Του Α.Ν 378/1968 (ΦΕΚ 82/Α’/17-4-1968).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Του άρθρου 25 του Ν. 27/1975 (ΦΕΚ 77/Α’/22-4-1975) και ιδίως την παράγραφο 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Του άρθρου 4 του Ν. 2234/1994 (ΦΕΚ 142/Α’/31-8-1994). δ. Του άρθρου 25 του Ν. 2515/1997 (ΦΕΚ 154/Α’/25-7-1997). ε. Του άρθρου 34 του Ν. 3427/2005 (ΦΕΚ 312/Α’/27-12-2005). στ. Του άρθρου 4 του Ν. 3752/2009 (ΦΕΚ 40/Α’/4-3-2009).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ζ. Του άρθρου 31 του Ν. 4150/2013 (ΦΕΚ 102/Α’/29-4-2013). η. Του «Κώδικα νομοθεσίας για την Κυβέρνηση και τα κυβερνητικά όργανα» που κυρώθηκε με το άρθρο πρώτο του Π.Δ. 63/2005 (ΦΕΚ 98/Α’/22-4-2005).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θ. Του Π.Δ. 85/2012 (ΦΕΚ 141/Α’/21-6-2012) «Περί Ίδρυσης και μετονομασίας Υπουργείων, μεταφοράς και κατάργησης υπηρεσιών» και ειδικότερα το άρθρο 5 όπως αντικαταστάθηκε από το άρθρο 1 του Π.Δ. 94/2012 (ΦΕΚ 149/Α’/17-7-2012) «Περί τροποποίησης του Π.Δ. 85/2012 «Ίδρυση και μετονομασία Υπουργείων, μεταφορά και κατάργηση υπηρεσιών» (Α’ 141)» και τροποποιήθηκε με το άρθρο 3 Π.Δ. 98/2012 (ΦΕΚ 160/Α’/10-8-2012).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ι. Του Π.Δ. 119/2013 (ΦΕΚ 153/Α/25-6-2013) «Περί Διορισμού Αντιπροέδρου της Κυβέρνησης, Υπουργών, Αναπληρωτών Υπουργών και Υφυπουργών».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ια. Της αριθ. 3122.18/03/13/11-12-2013 (ΦΕΚ 3263 Β’) κοινής απόφασης των Υπουργών Οικονομικών - Ανάπτυξης και Ανταγωνιστικότητας - Ναυτιλίας και Αιγαίου και των αριθ. 1246.3/5/94/1-12-1994 (ΦΕΚ 919 Β’) και 1246.3/6/94/ 1-12-1994 (ΦΕΚ 919 Β’) κοινών αποφάσεων των Υπουργών Εθνικής Οικονομίας, Οικονομικών και Εμπορικής Ναυτιλίας.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ιβ. Της αριθ. 5111.01/45/2012/26-07-2012 κοινής απόφαση του Πρωθυπουργού και του Υπουργού Ναυτιλίας και Αιγαίου «Περί διορισμού Γενικού Γραμματέα του Υπουργείου Ναυτιλίας και Αιγαίου» (ΦΕΚ 353 ΥΟΔΔ).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ιγ. Της αριθ. 3122.1/4704/01/07-10-2013 υπουργικής απόφασης (ΦΕΚ 2627/Β’/16-10-2013 και 2964/Β’/22-11-2013).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Το αριθ. 8469/1945/4704/01/25-2-2014 έγγραφο του Υπουργείου Ανάπτυξης και Ανταγωνιστικότητας (Διεύθυνση Κεφαλαίων Εξωτερικού),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Αποδεχόμεθα την εκπρόθεσμα κατά τριάντα εννέα (39) ημέρες κατατεθείσα στο Υπουργείο Ανάπτυξης και Ανταγωνιστικότητας (Διεύθυνση Κεφαλαίων Εξωτερικού) Εγγυητική Επιστολή Τραπέζης που προβλέπεται στο άρθρο 2 της αριθ. 3122.1/4704/01/07-10-2013 απόφασης του Υπουργού Ναυτιλίας και Αιγαίου (ΦΕΚ 2627/ Β’/16-10-2013 και 2964/Β’/22-11-2013) με θέμα «Εγκατάσταση στην Ελλάδα γραφείου ή Υποκαταστήματος της εταιρείας URSA S&amp;P S.A. που εδρεύει στη ΛΙΒΕΡΙΑ».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παραπάνω απόφαση θεωρείται ότι δεν έχει παύσει να ισχύει μέχρι σήμερα και εξακολουθεί να υφίσταται.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Πειραιάς, 21 Μαρτίου 2014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ΥΠΟΥΡΓΟΣΜΙΛΤΙΑΔΗΣΒΑΡΒΙΤΣΙΩΤΗΣ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