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Δ18Γ 5008041 ΕΞ 2014</w:t>
      </w:r>
    </w:p>
    <w:p>
      <w:pPr>
        <w:pStyle w:val="enacting"/>
        <w:spacing w:before="120" w:after="0"/>
        <w:rPr>
          <w:lang w:val="el" w:eastAsia="el"/>
        </w:rPr>
      </w:pPr>
      <w:r>
        <w:rPr>
          <w:lang w:val="el" w:eastAsia="el"/>
        </w:rPr>
        <w:t>Ίδρυση Ελεύθερης Ζώνης Ελέγχου Τύπου Ι στο Δημο-τικό Διαμέρισμα Οινόης Σχηματαρίου Βοιωτίας.</w:t>
      </w:r>
      <w:r>
        <w:rPr>
          <w:lang w:val="el" w:eastAsia="el"/>
        </w:rPr>
        <w:br/>
      </w:r>
      <w:r>
        <w:rPr>
          <w:lang w:val="el" w:eastAsia="el"/>
        </w:rPr>
        <w:t>Ο ΓΕΝΙΚΟΣ ΓΡΑΜΜΑΤΕΑΣ ΔΗΜΟΣΙΩΝ ΕΣΟΔΩΝΤΟΥ ΥΠΟΥΡΓΕΙΟΥ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Κανονισμού (ΕΟΚ) 2913/92 του Συμβουλίου περί θεσπίσεως του Κοινοτικού Τελωνειακού Κώδικα και ειδικότερα τα άρθρα 166-181 αυτού.</w:t>
      </w:r>
    </w:p>
    <w:p>
      <w:pPr>
        <w:pStyle w:val="PreambelText"/>
        <w:spacing w:before="240" w:after="240"/>
        <w:rPr>
          <w:lang w:val="el" w:eastAsia="el"/>
        </w:rPr>
      </w:pPr>
      <w:r>
        <w:rPr>
          <w:lang w:val="el" w:eastAsia="el"/>
        </w:rPr>
        <w:t>2. Τις διατάξεις του Κανονισμού (ΕΟΚ) 2454/93 της Επιτροπής για τον καθορισμό ορισμένων διατάξεων εφαρμογής του Κανονισμού (ΕΟΚ) 2913/92 του Συμβουλίου περί θεσπίσεως του Κοινοτικού Τελωνειακού Κώδικα και ειδικότερα τα άρθρα 799-812 αυτού.</w:t>
      </w:r>
    </w:p>
    <w:p>
      <w:pPr>
        <w:pStyle w:val="PreambelText"/>
        <w:spacing w:before="240" w:after="240"/>
        <w:rPr>
          <w:lang w:val="el" w:eastAsia="el"/>
        </w:rPr>
      </w:pPr>
      <w:r>
        <w:rPr>
          <w:lang w:val="el" w:eastAsia="el"/>
        </w:rPr>
        <w:t>3. Τις διατάξεις του Ν. 2960/2001 (ΦΕΚ 265/Α’/2001) «Εθνικός Τελωνειακός Κώδικας» και ειδικότερα το άρθρο 39 αυτού, όπως τροποποιήθηκε και ισχύει.</w:t>
      </w:r>
    </w:p>
    <w:p>
      <w:pPr>
        <w:pStyle w:val="PreambelText"/>
        <w:spacing w:before="240" w:after="240"/>
        <w:rPr>
          <w:lang w:val="el" w:eastAsia="el"/>
        </w:rPr>
      </w:pPr>
      <w:r>
        <w:rPr>
          <w:lang w:val="el" w:eastAsia="el"/>
        </w:rPr>
        <w:t>4. Την Τ.10970/110/Γ0019/14-12-1993 ΑΥΟ (ΦΕΚ 934/Β’/ 1993) «Τρόπος λειτουργίας και ελέγχου των Ελευθέρων Ζωνών και Ελευθέρων Αποθηκών».</w:t>
      </w:r>
    </w:p>
    <w:p>
      <w:pPr>
        <w:pStyle w:val="PreambelText"/>
        <w:spacing w:before="240" w:after="240"/>
        <w:rPr>
          <w:lang w:val="el" w:eastAsia="el"/>
        </w:rPr>
      </w:pPr>
      <w:r>
        <w:rPr>
          <w:lang w:val="el" w:eastAsia="el"/>
        </w:rPr>
        <w:t>5. Την με αρίθμ. πρωτ. 5045409/02-11-2010 αίτηση της εταιρείας Transcombi Express Α.Ε., με την οποία υπέβαλλε τη μελέτη σκοπιμότητας και ζήτησε τη σύσταση Ελεύθερης Ζώνης στο Δημοτικό Διαμέρισμα Οινόης Σχηματαρίου Βοιωτίας, καθώς και την από 3-9-2013 επικαιροποιημένη μελέτη σκοπιμότητας.</w:t>
      </w:r>
    </w:p>
    <w:p>
      <w:pPr>
        <w:pStyle w:val="PreambelText"/>
        <w:spacing w:before="240" w:after="240"/>
        <w:rPr>
          <w:lang w:val="el" w:eastAsia="el"/>
        </w:rPr>
      </w:pPr>
      <w:r>
        <w:rPr>
          <w:lang w:val="el" w:eastAsia="el"/>
        </w:rPr>
        <w:t>6. Την αρίθμ. ΣΕΠ-102/20867/04-05-2012 θέση του Υπουργείου Ανάπτυξης, Ανταγωνιστικότητας και Ναυτιλίας, στην οποία δηλώνουν ότι δεν έχουν αντίρρηση στην ίδρυση της προτεινόμενης Ελεύθερης Ζώνης.</w:t>
      </w:r>
    </w:p>
    <w:p>
      <w:pPr>
        <w:pStyle w:val="PreambelText"/>
        <w:spacing w:before="240" w:after="240"/>
        <w:rPr>
          <w:lang w:val="el" w:eastAsia="el"/>
        </w:rPr>
      </w:pPr>
      <w:r>
        <w:rPr>
          <w:lang w:val="el" w:eastAsia="el"/>
        </w:rPr>
        <w:t>7. Τα αρίθμ. 2738/2-8-2011 και 6453/6-11-2013 έγγραφα του Τελωνείου Οινόης, στα οποία εκφράζεται η θέση τους σχετικά με τη δημιουργία της προτεινόμενης Ελεύθερης Ζώνης.</w:t>
      </w:r>
    </w:p>
    <w:p>
      <w:pPr>
        <w:pStyle w:val="PreambelText"/>
        <w:spacing w:before="240" w:after="240"/>
        <w:rPr>
          <w:lang w:val="el" w:eastAsia="el"/>
        </w:rPr>
      </w:pPr>
      <w:r>
        <w:rPr>
          <w:lang w:val="el" w:eastAsia="el"/>
        </w:rPr>
        <w:t>8. Την αριθμ. Δ6Α 1015213ΕΞ2013/28-1-2013 «Μεταβίβαση αρμοδιοτήτων στον Γενικό Γραμματέα της Γενικής Γραμματείας Δημοσίων Εσόδων του Υπουργείου Οικονομικών» (ΦΕΚ 130/Β’/2013 και 372/Β’/2013).</w:t>
      </w:r>
    </w:p>
    <w:p>
      <w:pPr>
        <w:pStyle w:val="PreambelText"/>
        <w:spacing w:before="240" w:after="240"/>
        <w:rPr>
          <w:lang w:val="el" w:eastAsia="el"/>
        </w:rPr>
      </w:pPr>
      <w:r>
        <w:rPr>
          <w:lang w:val="el" w:eastAsia="el"/>
        </w:rPr>
        <w:t>9. Την αρίθμ. Δ6Α 1196756ΕΞ2013/23-12-2013 «Συμπλήρωση της υπ’ αρίθ. Δ6Α 1015213/28-1-2013 (Β’ 130 και 372) απόφασης του Υπουργού Οικονομικών και του</w:t>
      </w:r>
    </w:p>
    <w:p>
      <w:pPr>
        <w:pStyle w:val="PreambelText"/>
        <w:spacing w:before="240" w:after="240"/>
        <w:rPr>
          <w:lang w:val="el" w:eastAsia="el"/>
        </w:rPr>
      </w:pPr>
      <w:r>
        <w:rPr>
          <w:lang w:val="el" w:eastAsia="el"/>
        </w:rPr>
        <w:t>Υφυπουργού Οικονομικών "Μεταβίβαση αρμοδιοτήτων στον Γενικό Γραμματέα της Γενικής Γραμματείας Δημοσίων Εσόδων του Υπουργείου Οικονομικών"» (ΦΕΚ 3317/Β’/2013).</w:t>
      </w:r>
    </w:p>
    <w:p>
      <w:pPr>
        <w:pStyle w:val="PreambelText"/>
        <w:spacing w:before="240" w:after="240"/>
        <w:rPr>
          <w:lang w:val="el" w:eastAsia="el"/>
        </w:rPr>
      </w:pPr>
      <w:r>
        <w:rPr>
          <w:lang w:val="el" w:eastAsia="el"/>
        </w:rPr>
        <w:t>10. Το γεγονός ότι η παρούσα απόφαση δεν αποτελεί δαπάνη για τον Προϋπολογισμό,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Εγκρίνουμε την ίδρυση Ελεύθερης Ζώνης σε χώρο συνολικής έκτασης 154.138,17 τ.μ., που περικλείεται από τα σημεία ΑΒΓΔΕΖΗΘΙΚΛΜΝΑ, όπως φαίνεται στο συνημμένο τοπογραφικό σχεδιάγραμμα, ονομαζόμενη στο εξής «Ελεύθερη Ζώνη Ελέγχου Τύπου Ι Οινόης Σχηματαρίου Βοιωτίας», με φορέα διαχείρισης αυτής την εταιρεία Transcombi Express Α.Ε.</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Περίφραξη της Ελεύθερης Ζώνης –</w:t>
      </w:r>
    </w:p>
    <w:p>
      <w:pPr>
        <w:spacing w:before="240" w:after="240"/>
        <w:rPr>
          <w:lang w:val="el" w:eastAsia="el"/>
        </w:rPr>
      </w:pPr>
      <w:r>
        <w:rPr>
          <w:lang w:val="el" w:eastAsia="el"/>
        </w:rPr>
        <w:t>Πύλη εισόδου-εξόδου των εμπορευμάτων.</w:t>
      </w:r>
    </w:p>
    <w:p>
      <w:pPr>
        <w:pStyle w:val="MainText"/>
        <w:spacing w:before="120" w:after="0"/>
        <w:rPr>
          <w:lang w:val="el" w:eastAsia="el"/>
        </w:rPr>
      </w:pPr>
      <w:r>
        <w:rPr>
          <w:b/>
          <w:bCs/>
          <w:lang w:val="el" w:eastAsia="el"/>
        </w:rPr>
        <w:t>1.</w:t>
      </w:r>
      <w:r>
        <w:rPr>
          <w:lang w:val="el" w:eastAsia="el"/>
        </w:rPr>
        <w:t xml:space="preserve"> Ο χώρος πρέπει να είναι περιφραγμένος με σταθερή περίφραξη ύψους 2,5 μέτρων τουλάχιστον και πλέον αυτής αγκαθωτό συρματόπλεγμα 1 μέτρου, να διαθέτει επαρκή φωτισμό, καθώς και λειτουργούντα επί 24ώρου βάσεως συστήματα παρακολούθησης.</w:t>
      </w:r>
    </w:p>
    <w:p>
      <w:pPr>
        <w:pStyle w:val="MainText"/>
        <w:spacing w:before="120" w:after="0"/>
        <w:rPr>
          <w:lang w:val="el" w:eastAsia="el"/>
        </w:rPr>
      </w:pPr>
      <w:r>
        <w:rPr>
          <w:b/>
          <w:bCs/>
          <w:lang w:val="el" w:eastAsia="el"/>
        </w:rPr>
        <w:t>2.</w:t>
      </w:r>
      <w:r>
        <w:rPr>
          <w:lang w:val="el" w:eastAsia="el"/>
        </w:rPr>
        <w:t xml:space="preserve"> Η πύλη εισόδου-εξόδου προσώπων και εμπορευμάτων, όπως εμφανίζεται μεταξύ των σημείων Β και Γ στο συνημμένο τοπογραφικό σχεδιάγραμμα, θα πρέπει να διαμορφωθεί με τρόπο τέτοιο ώστε, με τη συνδρομή των κατάλληλων διαδικασιών και συστημάτων ελέγχου που θα εγκρίνει η αρμόδια τελωνειακή αρχή, να διασφαλίζεται επί 24ώρου βάσεως η τελωνειακή επιτήρηση.</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Αρμόδια Τελωνειακή Αρχή – Τελωνειακή επιτήρηση</w:t>
      </w:r>
    </w:p>
    <w:p>
      <w:pPr>
        <w:pStyle w:val="MainText"/>
        <w:spacing w:before="120" w:after="0"/>
        <w:rPr>
          <w:lang w:val="el" w:eastAsia="el"/>
        </w:rPr>
      </w:pPr>
      <w:r>
        <w:rPr>
          <w:b/>
          <w:bCs/>
          <w:lang w:val="el" w:eastAsia="el"/>
        </w:rPr>
        <w:t>1.</w:t>
      </w:r>
      <w:r>
        <w:rPr>
          <w:lang w:val="el" w:eastAsia="el"/>
        </w:rPr>
        <w:t xml:space="preserve"> Το Τελωνείο Οινόης ορίζεται ως αρμόδια Τελωνειακή Αρχή για την άσκηση της τελωνειακής επιτήρησης εντός της Ε.Ζ.</w:t>
      </w:r>
    </w:p>
    <w:p>
      <w:pPr>
        <w:pStyle w:val="MainText"/>
        <w:spacing w:before="120" w:after="0"/>
        <w:rPr>
          <w:lang w:val="el" w:eastAsia="el"/>
        </w:rPr>
      </w:pPr>
      <w:r>
        <w:rPr>
          <w:b/>
          <w:bCs/>
          <w:lang w:val="el" w:eastAsia="el"/>
        </w:rPr>
        <w:t>2.</w:t>
      </w:r>
      <w:r>
        <w:rPr>
          <w:lang w:val="el" w:eastAsia="el"/>
        </w:rPr>
        <w:t xml:space="preserve"> Το Τελωνείο Οινόης είναι υπεύθυνο για την επιτήρηση της πύλης εισόδου-εξόδου κατά τη διάρκεια της λειτουργίας της.</w:t>
      </w:r>
    </w:p>
    <w:p>
      <w:pPr>
        <w:pStyle w:val="MainText"/>
        <w:spacing w:before="120" w:after="0"/>
        <w:rPr>
          <w:lang w:val="el" w:eastAsia="el"/>
        </w:rPr>
      </w:pPr>
      <w:r>
        <w:rPr>
          <w:b/>
          <w:bCs/>
          <w:lang w:val="el" w:eastAsia="el"/>
        </w:rPr>
        <w:t>3.</w:t>
      </w:r>
      <w:r>
        <w:rPr>
          <w:lang w:val="el" w:eastAsia="el"/>
        </w:rPr>
        <w:t xml:space="preserve"> Το ωράριο κατά τη διάρκεια του οποίου θα επιτρέπεται η διέλευση προσώπων και εμπορευμάτων από την πύλη εισόδου-εξόδου καθορίζεται από το Τελωνείο Οινόης σε συνεργασία με το φορέα διαχείρισης της Ε.Ζ. Μετά το πέρας του ωραρίου, με ευθύνη του φορέα διαχείρισης, θα απαγορεύεται η είσοδος και έξοδος προσώπων και εμπορευμάτων από την πύλη.</w:t>
      </w:r>
    </w:p>
    <w:p>
      <w:pPr>
        <w:pStyle w:val="MainText"/>
        <w:spacing w:before="120" w:after="0"/>
        <w:rPr>
          <w:lang w:val="el" w:eastAsia="el"/>
        </w:rPr>
      </w:pPr>
      <w:r>
        <w:rPr>
          <w:b/>
          <w:bCs/>
          <w:lang w:val="el" w:eastAsia="el"/>
        </w:rPr>
        <w:t>4.</w:t>
      </w:r>
      <w:r>
        <w:rPr>
          <w:lang w:val="el" w:eastAsia="el"/>
        </w:rPr>
        <w:t xml:space="preserve"> Το Τελωνείο Οινόης μπορεί να απαγορεύσει τη διέλευση προσώπων και οχημάτων που κρίνει ότι δεν παρέχουν τα απαιτούμενα εχέγγυα για είσοδο στην Ε.Ζ.</w:t>
      </w:r>
    </w:p>
    <w:p>
      <w:pPr>
        <w:pStyle w:val="MainText"/>
        <w:spacing w:before="120" w:after="0"/>
        <w:rPr>
          <w:lang w:val="el" w:eastAsia="el"/>
        </w:rPr>
      </w:pPr>
      <w:r>
        <w:rPr>
          <w:b/>
          <w:bCs/>
          <w:lang w:val="el" w:eastAsia="el"/>
        </w:rPr>
        <w:t>5.</w:t>
      </w:r>
      <w:r>
        <w:rPr>
          <w:lang w:val="el" w:eastAsia="el"/>
        </w:rPr>
        <w:t xml:space="preserve"> Το Τελωνείο Οινόης είναι υπεύθυνο για την οργάνωση υπηρεσιών και γραμματειών που έχουν ως σκοπό να διασφαλίσουν την τελωνειακή επιτήρηση στα πλαίσια της διακίνησης των εμπορευμάτων εντός και εκτός της Ε.Ζ. και της τήρησης της λογιστικής αποθήκης των επιχειρήσεων.</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Υποχρεώσεις του φορέα διαχείρισης της Ε.Ζ.</w:t>
      </w:r>
    </w:p>
    <w:p>
      <w:pPr>
        <w:spacing w:before="240" w:after="240"/>
        <w:rPr>
          <w:lang w:val="el" w:eastAsia="el"/>
        </w:rPr>
      </w:pPr>
      <w:r>
        <w:rPr>
          <w:lang w:val="el" w:eastAsia="el"/>
        </w:rPr>
        <w:t>Ο φορέας διαχείρισης υποχρεούται:</w:t>
      </w:r>
    </w:p>
    <w:p>
      <w:pPr>
        <w:pStyle w:val="StructureList1"/>
        <w:spacing w:before="120" w:after="0"/>
        <w:rPr>
          <w:lang w:val="el" w:eastAsia="el"/>
        </w:rPr>
      </w:pPr>
      <w:r>
        <w:rPr>
          <w:lang w:val="el" w:eastAsia="el"/>
        </w:rPr>
        <w:t>α)</w:t>
      </w:r>
      <w:r>
        <w:rPr>
          <w:lang w:val="en" w:eastAsia="en"/>
        </w:rPr>
        <w:tab/>
      </w:r>
      <w:r>
        <w:rPr>
          <w:lang w:val="el" w:eastAsia="el"/>
        </w:rPr>
        <w:t>Να διεκπεραιώσει τις εργασίες που προβλέπονται από την παρούσα και που κρίνονται απαραίτητες από το Τελωνείο Οινόης, για τη διαμόρφωση του χώρου της Ε.Ζ. προκειμένου αυτός να καταστεί κατάλληλος και λειτουργικός, ακόμη και μετά την έναρξη λειτουργίας της Ε.Ζ.</w:t>
      </w:r>
    </w:p>
    <w:p>
      <w:pPr>
        <w:pStyle w:val="StructureList1"/>
        <w:spacing w:before="120" w:after="0"/>
        <w:rPr>
          <w:lang w:val="el" w:eastAsia="el"/>
        </w:rPr>
      </w:pPr>
      <w:r>
        <w:rPr>
          <w:lang w:val="el" w:eastAsia="el"/>
        </w:rPr>
        <w:t>β)</w:t>
      </w:r>
      <w:r>
        <w:rPr>
          <w:lang w:val="en" w:eastAsia="en"/>
        </w:rPr>
        <w:tab/>
      </w:r>
      <w:r>
        <w:rPr>
          <w:lang w:val="el" w:eastAsia="el"/>
        </w:rPr>
        <w:t>Να παρέχει τους αναγκαίους χώρους και τα κατάλληλα μέσα για τη διευκόλυνση της τελωνειακής επιτήρησης.</w:t>
      </w:r>
    </w:p>
    <w:p>
      <w:pPr>
        <w:pStyle w:val="StructureList1"/>
        <w:spacing w:before="120" w:after="0"/>
        <w:rPr>
          <w:lang w:val="el" w:eastAsia="el"/>
        </w:rPr>
      </w:pPr>
      <w:r>
        <w:rPr>
          <w:lang w:val="el" w:eastAsia="el"/>
        </w:rPr>
        <w:t>γ)</w:t>
      </w:r>
      <w:r>
        <w:rPr>
          <w:lang w:val="en" w:eastAsia="en"/>
        </w:rPr>
        <w:tab/>
      </w:r>
      <w:r>
        <w:rPr>
          <w:lang w:val="el" w:eastAsia="el"/>
        </w:rPr>
        <w:t>Να συμμορφώνεται με οποιοδήποτε μέτρο ελέγχου κρίνει σκόπιμο η Τελωνειακή Αρχή, προκειμένου να διασφαλιστεί η τήρηση της Τελωνειακής νομοθεσίας. δ) Να λαμβάνει τα αναγκαία μέτρα ελέγχου ώστε τα εμπορεύματα να μη διαφεύγουν της τελωνειακής επιτήρησης.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Κατασκευή ακινήτου – μετατροπή οικήματος στην Ε.Ζ.</w:t>
      </w:r>
    </w:p>
    <w:p>
      <w:pPr>
        <w:pStyle w:val="MainText"/>
        <w:spacing w:before="120" w:after="0"/>
        <w:rPr>
          <w:lang w:val="el" w:eastAsia="el"/>
        </w:rPr>
      </w:pPr>
      <w:r>
        <w:rPr>
          <w:b/>
          <w:bCs/>
          <w:lang w:val="el" w:eastAsia="el"/>
        </w:rPr>
        <w:t>1.</w:t>
      </w:r>
      <w:r>
        <w:rPr>
          <w:lang w:val="el" w:eastAsia="el"/>
        </w:rPr>
        <w:t xml:space="preserve"> Κάθε κατασκευή ακινήτου ή μετατροπή οικήματος εντός της Ε.Ζ. προϋποθέτει τη χορήγηση έγκρισης από τη Γενική Διεύθυνση Τελωνείων και Ε.Φ.Κ., αφού έχει υποβληθεί προηγουμένως αντίστοιχη αίτηση γραπτώς.</w:t>
      </w:r>
    </w:p>
    <w:p>
      <w:pPr>
        <w:pStyle w:val="MainText"/>
        <w:spacing w:before="120" w:after="0"/>
        <w:rPr>
          <w:lang w:val="el" w:eastAsia="el"/>
        </w:rPr>
      </w:pPr>
      <w:r>
        <w:rPr>
          <w:b/>
          <w:bCs/>
          <w:lang w:val="el" w:eastAsia="el"/>
        </w:rPr>
        <w:t>2.</w:t>
      </w:r>
      <w:r>
        <w:rPr>
          <w:lang w:val="el" w:eastAsia="el"/>
        </w:rPr>
        <w:t xml:space="preserve"> Στην αίτηση πρέπει να προσδιορίζεται η δραστηριότητα για την οποία θα χρησιμοποιείται το οίκημα, καθώς και όλες οι πληροφορίες που είναι απαραίτητες για την αξιολόγηση του αιτήματος.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Λογιστική Αποθήκης</w:t>
      </w:r>
    </w:p>
    <w:p>
      <w:pPr>
        <w:pStyle w:val="MainText"/>
        <w:spacing w:before="120" w:after="0"/>
        <w:rPr>
          <w:lang w:val="el" w:eastAsia="el"/>
        </w:rPr>
      </w:pPr>
      <w:r>
        <w:rPr>
          <w:b/>
          <w:bCs/>
          <w:lang w:val="el" w:eastAsia="el"/>
        </w:rPr>
        <w:t>1.</w:t>
      </w:r>
      <w:r>
        <w:rPr>
          <w:lang w:val="el" w:eastAsia="el"/>
        </w:rPr>
        <w:t xml:space="preserve"> Οποιαδήποτε επιχείρηση προτίθεται να εγκατασταθεί και να δραστηριοποιηθεί εντός της Ε.Ζ., υποχρεούται σε τήρηση λογιστικής αποθήκης βάσει του άρθρου 176 του Καν (Ε.Ο.Κ.) 2913/92.</w:t>
      </w:r>
    </w:p>
    <w:p>
      <w:pPr>
        <w:pStyle w:val="MainText"/>
        <w:spacing w:before="120" w:after="0"/>
        <w:rPr>
          <w:lang w:val="el" w:eastAsia="el"/>
        </w:rPr>
      </w:pPr>
      <w:r>
        <w:rPr>
          <w:b/>
          <w:bCs/>
          <w:lang w:val="el" w:eastAsia="el"/>
        </w:rPr>
        <w:t>2.</w:t>
      </w:r>
      <w:r>
        <w:rPr>
          <w:lang w:val="el" w:eastAsia="el"/>
        </w:rPr>
        <w:t xml:space="preserve"> Η εν λόγω λογιστική αποθήκης εγκρίνεται από το Γενικό Διευθυντή Τελωνείων και Ε.Φ.Κ. μετά από γραπτή αίτηση της ενδιαφερόμενης επιχείρησης και περιλαμβάνει τουλάχιστον τα στοιχεία που αναφέρονται στο άρθρο 806 του Καν (Ε.Ο.Κ.) 2454/93.</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Η απόφαση αυτή ισχύει από την δημοσίευσή της στην Εφημερίδα της Κυβερνήσεως.</w:t>
      </w:r>
    </w:p>
    <w:p>
      <w:pPr>
        <w:spacing w:before="240" w:after="240"/>
        <w:rPr>
          <w:lang w:val="el" w:eastAsia="el"/>
        </w:rPr>
      </w:pPr>
      <w:r>
        <w:rPr>
          <w:u w:val="single"/>
          <w:lang w:val="el" w:eastAsia="el"/>
        </w:rPr>
        <w:t>ΕΘΝΙΚΟ^ΥΠθΤΡΑΦΕΙΟ</w:t>
      </w:r>
    </w:p>
    <w:p>
      <w:pPr>
        <w:spacing w:before="240" w:after="240"/>
        <w:rPr>
          <w:lang w:val="el" w:eastAsia="el"/>
        </w:rPr>
      </w:pPr>
      <w:r>
        <w:rPr>
          <w:b/>
          <w:bCs/>
          <w:lang w:val="el" w:eastAsia="el"/>
        </w:rPr>
        <w:t xml:space="preserve">Για τεχνικούς λόγους στο σχεδιάγραμμα, έγινε σμίκρυνση, κατά ποσοστό </w:t>
      </w:r>
      <w:r>
        <w:rPr>
          <w:lang w:val="el" w:eastAsia="el"/>
        </w:rPr>
        <w:t>3θ%</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28 Μαρτίου 2014</w:t>
      </w:r>
    </w:p>
    <w:p>
      <w:pPr>
        <w:spacing w:before="240" w:after="240"/>
        <w:rPr>
          <w:lang w:val="el" w:eastAsia="el"/>
        </w:rPr>
      </w:pPr>
      <w:r>
        <w:rPr>
          <w:lang w:val="el" w:eastAsia="el"/>
        </w:rPr>
        <w:t>Ο Γενικός Γραμματέας Δημοσίων Εσόδων</w:t>
      </w:r>
    </w:p>
    <w:p>
      <w:pPr>
        <w:spacing w:before="240" w:after="240"/>
        <w:rPr>
          <w:lang w:val="el" w:eastAsia="el"/>
        </w:rPr>
      </w:pPr>
      <w:r>
        <w:rPr>
          <w:lang w:val="el" w:eastAsia="el"/>
        </w:rPr>
        <w:t>ΘΕΟΧΑΡΗΣ ΘΕΟΧΑΡΗΣ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