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Β΄ 883/9.4.2014</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.ΓΕΝΙΚΗ ΔΙΕΥΘΥΝΣΗ ΦΟΡΟΛΟΓΙΚΗΣ ΔΙΟΙΚΗΣΗΣ </w:t>
      </w:r>
      <w:r>
        <w:rPr>
          <w:b/>
          <w:bCs/>
          <w:lang w:val="el" w:eastAsia="el"/>
        </w:rPr>
        <w:t>ΠΟΛ.1098</w:t>
      </w:r>
    </w:p>
    <w:p>
      <w:pPr>
        <w:pStyle w:val="PreambelText"/>
        <w:spacing w:before="240" w:after="240"/>
        <w:rPr>
          <w:lang w:val="el" w:eastAsia="el"/>
        </w:rPr>
      </w:pPr>
      <w:r>
        <w:rPr>
          <w:lang w:val="el" w:eastAsia="el"/>
        </w:rPr>
        <w:t>Δ/ΝΣΗ ΦΟΡΟΛΟΓΙΑΣ ΕΙΣΟΔΗΜΑΤΟΣ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r>
        <w:rPr>
          <w:b/>
          <w:bCs/>
          <w:lang w:val="el" w:eastAsia="el"/>
        </w:rPr>
        <w:t>ΠΡΟΣ: Ως Π.Δ</w:t>
      </w:r>
      <w:r>
        <w:rPr>
          <w:lang w:val="el" w:eastAsia="el"/>
        </w:rPr>
        <w:t>. Πληροφορίες:</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Τηλ.: 210- 3375314</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lang w:val="el" w:eastAsia="el"/>
        </w:rPr>
        <w:t>Ταχ. Δ/νση:Χανδρή 1 &amp; Θεσ/νίκης</w:t>
      </w:r>
    </w:p>
    <w:p>
      <w:pPr>
        <w:spacing w:before="240" w:after="240"/>
        <w:rPr>
          <w:lang w:val="el" w:eastAsia="el"/>
        </w:rPr>
      </w:pPr>
      <w:r>
        <w:rPr>
          <w:lang w:val="el" w:eastAsia="el"/>
        </w:rPr>
        <w:t>Ταχ. Κώδικας: 18346 ΜΟΣΧΑΤΟ</w:t>
      </w:r>
    </w:p>
    <w:p>
      <w:pPr>
        <w:spacing w:before="240" w:after="240"/>
        <w:rPr>
          <w:lang w:val="el" w:eastAsia="el"/>
        </w:rPr>
      </w:pPr>
      <w:r>
        <w:rPr>
          <w:b/>
          <w:bCs/>
          <w:lang w:val="el" w:eastAsia="el"/>
        </w:rPr>
        <w:t>ΘΕΜΑ: Παροχή οικονομικών στοιχείων σε φορείς κοινωνικής ασφάλισης.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ΤΗΣ ΓΕΝΙΚΗΣ ΓΡΑΜΜΑΤΕΙΑΣ ΔΗΜΟΣΙΩΝ</w:t>
      </w:r>
    </w:p>
    <w:p>
      <w:pPr>
        <w:spacing w:before="240" w:after="240"/>
        <w:rPr>
          <w:lang w:val="el" w:eastAsia="el"/>
        </w:rPr>
      </w:pPr>
      <w:r>
        <w:rPr>
          <w:b/>
          <w:bCs/>
          <w:lang w:val="el" w:eastAsia="el"/>
        </w:rPr>
        <w:t>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υποπαραγράφου Ε2 του ν. 4093/2012 περί σύστασης θέσης Γενικού Γραμματέα Δημοσίων Εσόδων (ΦΕΚ 222 Α΄).</w:t>
      </w:r>
    </w:p>
    <w:p>
      <w:pPr>
        <w:spacing w:before="240" w:after="240"/>
        <w:rPr>
          <w:lang w:val="el" w:eastAsia="el"/>
        </w:rPr>
      </w:pPr>
      <w:r>
        <w:rPr>
          <w:lang w:val="el" w:eastAsia="el"/>
        </w:rPr>
        <w:t>2. Τις διατάξεις της περ.ε΄ παρ. 1 και της παρ.5 του άρθρου 17 του ν. 4174/2013 (ΦΕΚ 170 Α΄) όπως αυτές ισχύουν μετά την τροποποίησή τους από τις διατάξεις του ν.4254/2014 (ΦΕΚ 85 Α΄).</w:t>
      </w:r>
    </w:p>
    <w:p>
      <w:pPr>
        <w:spacing w:before="240" w:after="240"/>
        <w:rPr>
          <w:lang w:val="el" w:eastAsia="el"/>
        </w:rPr>
      </w:pPr>
      <w:r>
        <w:rPr>
          <w:lang w:val="el" w:eastAsia="el"/>
        </w:rPr>
        <w:t>3. Τις διατάξεις της ΠΟΛ.1049/11.2.2014 (ΦΕΚ 429 Β΄) περί καθορισμού του τρόπου υποβολής της δήλωσης και απόδοσης του φόρου που παρακρατείται στο εισόδημα από μισθωτή εργασία και συντάξεις και στην ειδική εισφορά αλληλεγγύης του άρθρου 29 του ν.3986/2011.</w:t>
      </w:r>
    </w:p>
    <w:p>
      <w:pPr>
        <w:spacing w:before="240" w:after="240"/>
        <w:rPr>
          <w:lang w:val="el" w:eastAsia="el"/>
        </w:rPr>
      </w:pPr>
      <w:r>
        <w:rPr>
          <w:lang w:val="el" w:eastAsia="el"/>
        </w:rPr>
        <w:t>4. Τις διατάξεις της ΠΟΛ.1046/7.2.2014 (ΦΕΚ 369 Β΄) περί του τύπου και περιεχομένου της Οριστικής Δήλωσης Απόδοσης Φόρου Μισθωτών Υπηρεσιών, της Οριστικής Δήλωσης Αμοιβών από Ελευθέρια Επαγγέλματα και της Οριστικής Δήλωσης Εισοδημάτων από Εμπορικές Επιχειρήσεις καθώς και υποχρέωση υποβολής τους και απόδοσης του φόρου Μισθωτών Υπηρεσιών, με τη χρήση ηλεκτρονικής μεθόδου επικοινωνίας ή με μαγνητικό μέσο στη Δ.Ο.Υ., κατά περίπτωση.</w:t>
      </w:r>
    </w:p>
    <w:p>
      <w:pPr>
        <w:spacing w:before="240" w:after="240"/>
        <w:rPr>
          <w:lang w:val="el" w:eastAsia="el"/>
        </w:rPr>
      </w:pPr>
      <w:r>
        <w:rPr>
          <w:lang w:val="el" w:eastAsia="el"/>
        </w:rPr>
        <w:t>5. Τις υποχρεώσεις που απορρέουν από την παρ.12 του Παραρτήματος V.1 του ν.4046/2012 (ΦΕΚ 28 Α΄).</w:t>
      </w:r>
    </w:p>
    <w:p>
      <w:pPr>
        <w:spacing w:before="240" w:after="240"/>
        <w:rPr>
          <w:lang w:val="el" w:eastAsia="el"/>
        </w:rPr>
      </w:pPr>
      <w:r>
        <w:rPr>
          <w:lang w:val="el" w:eastAsia="el"/>
        </w:rPr>
        <w:t>6.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Επιτρέπεται η χορήγηση στοιχείων σε φορείς κοινωνικής ασφάλισης από τη δήλωση απόδοσης του φόρου που παρακρατείται στο εισόδημα από μισθωτή εργασία καθώς και από την Οριστική Δήλωση Απόδοσης Φόρου Μισθωτών Υπηρεσιών προκειμένου να διενεργηθούν οι σχετικοί έλεγχοι και διασταυρώσεις που αποβλέπουν στον ορθό προσδιορισμό των οφειλόμενων ασφαλιστικών εισφορών.</w:t>
      </w:r>
    </w:p>
    <w:p>
      <w:pPr>
        <w:spacing w:before="240" w:after="240"/>
        <w:rPr>
          <w:lang w:val="el" w:eastAsia="el"/>
        </w:rPr>
      </w:pPr>
      <w:r>
        <w:rPr>
          <w:b/>
          <w:bCs/>
          <w:lang w:val="el" w:eastAsia="el"/>
        </w:rPr>
        <w:t>Ο Γεν. Γραμματέας Δημοσίων Εσόδων</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 ΚΓ΄</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Ηλεκτρονικά Συναλλασσομένων για ανάρτηση στο διαδίκτυο</w:t>
      </w:r>
    </w:p>
    <w:p>
      <w:pPr>
        <w:spacing w:before="240" w:after="240"/>
        <w:rPr>
          <w:lang w:val="el" w:eastAsia="el"/>
        </w:rPr>
      </w:pPr>
      <w:r>
        <w:rPr>
          <w:lang w:val="el" w:eastAsia="el"/>
        </w:rPr>
        <w:t>4. Υπουργείο Οικονομικών - Δ/νση Πολιτικής Εισπράξεων</w:t>
      </w:r>
    </w:p>
    <w:p>
      <w:pPr>
        <w:spacing w:before="240" w:after="240"/>
        <w:rPr>
          <w:lang w:val="el" w:eastAsia="el"/>
        </w:rPr>
      </w:pPr>
      <w:r>
        <w:rPr>
          <w:lang w:val="el" w:eastAsia="el"/>
        </w:rPr>
        <w:t>5. Υπουργείο Εργασίας Κοινωνικής Ασφάλισης και Πρόνοιας – Δ/νση Κύριας Ασφ/σης Μισθωτών</w:t>
      </w:r>
    </w:p>
    <w:p>
      <w:pPr>
        <w:spacing w:before="240" w:after="240"/>
        <w:rPr>
          <w:lang w:val="el" w:eastAsia="el"/>
        </w:rPr>
      </w:pPr>
      <w:r>
        <w:rPr>
          <w:lang w:val="el" w:eastAsia="el"/>
        </w:rPr>
        <w:t>6. Ι.Κ.Α. – Ενιαίο Ταμείο Ασφάλισης Μισθωτών</w:t>
      </w:r>
    </w:p>
    <w:p>
      <w:pPr>
        <w:spacing w:before="240" w:after="240"/>
        <w:rPr>
          <w:lang w:val="el" w:eastAsia="el"/>
        </w:rPr>
      </w:pPr>
      <w:r>
        <w:rPr>
          <w:lang w:val="el" w:eastAsia="el"/>
        </w:rPr>
        <w:t>7. 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 κ. Γεώργιου Μαυραγάνη</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 Γραμματέα Γ.Γ.Π.Σ.</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Όλες οι Δ/νσεις Φορολογίας – Τμήματα και Αυτοτελή Γραφεία</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Γραφείο Τύπου και Δημοσίων Σχέσεων (20 αντίγραφα)</w:t>
      </w:r>
    </w:p>
    <w:p>
      <w:pPr>
        <w:spacing w:before="240" w:after="240"/>
        <w:rPr>
          <w:lang w:val="el" w:eastAsia="el"/>
        </w:rPr>
      </w:pPr>
      <w:r>
        <w:rPr>
          <w:lang w:val="el" w:eastAsia="el"/>
        </w:rPr>
        <w:t>9. Δ/νση 12</w:t>
      </w:r>
      <w:r>
        <w:rPr>
          <w:sz w:val="30"/>
          <w:szCs w:val="30"/>
          <w:vertAlign w:val="superscript"/>
          <w:lang w:val="el" w:eastAsia="el"/>
        </w:rPr>
        <w:t>η</w:t>
      </w:r>
      <w:r>
        <w:rPr>
          <w:lang w:val="el" w:eastAsia="el"/>
        </w:rPr>
        <w:t xml:space="preserve">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(20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(7 αντίγραφα)</w:t>
      </w:r>
    </w:p>
    <w:p>
      <w:pPr>
        <w:pStyle w:val="StructureList1"/>
        <w:spacing w:before="120" w:after="0"/>
        <w:rPr>
          <w:lang w:val="el" w:eastAsia="el"/>
        </w:rPr>
      </w:pPr>
      <w:r>
        <w:rPr>
          <w:lang w:val="el" w:eastAsia="el"/>
        </w:rPr>
        <w:t>δ)</w:t>
      </w:r>
      <w:r>
        <w:rPr>
          <w:lang w:val="en" w:eastAsia="en"/>
        </w:rPr>
        <w:tab/>
      </w:r>
      <w:r>
        <w:rPr>
          <w:lang w:val="el" w:eastAsia="el"/>
        </w:rPr>
        <w:t>Τμήμα Γ΄ (5 αντίγραφα)</w:t>
      </w:r>
    </w:p>
    <w:p>
      <w:pPr>
        <w:spacing w:before="240" w:after="240"/>
        <w:rPr>
          <w:lang w:val="el" w:eastAsia="el"/>
        </w:rPr>
      </w:pPr>
      <w:r>
        <w:rPr>
          <w:lang w:val="el" w:eastAsia="el"/>
        </w:rPr>
        <w:t>10. Δ/νση Πολιτικής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