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1)Δ/ΝΣΗ ΦΟΡΟΛΟΓΙΑΣ ΕΙΣΟΔΗΜΑΤΟΣ (Δ12)</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2)Δ/ΝΣΗ ΕΛΕΓΧΩΝ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 xml:space="preserve">Ταχ. Δ/νση: </w:t>
      </w:r>
      <w:r>
        <w:rPr>
          <w:lang w:val="el" w:eastAsia="el"/>
        </w:rPr>
        <w:t>Καρ. Σερβίας 10</w:t>
      </w:r>
    </w:p>
    <w:p>
      <w:pPr>
        <w:spacing w:before="240" w:after="240"/>
        <w:rPr>
          <w:lang w:val="el" w:eastAsia="el"/>
        </w:rPr>
      </w:pPr>
      <w:r>
        <w:rPr>
          <w:b/>
          <w:bCs/>
          <w:lang w:val="el" w:eastAsia="el"/>
        </w:rPr>
        <w:t xml:space="preserve">Ταχ. Κώδ.: </w:t>
      </w:r>
      <w:r>
        <w:rPr>
          <w:lang w:val="el" w:eastAsia="el"/>
        </w:rPr>
        <w:t>101 84 ΑΘΗΝΑ</w:t>
      </w:r>
    </w:p>
    <w:p>
      <w:pPr>
        <w:spacing w:before="240" w:after="240"/>
        <w:rPr>
          <w:lang w:val="el" w:eastAsia="el"/>
        </w:rPr>
      </w:pPr>
      <w:r>
        <w:rPr>
          <w:b/>
          <w:bCs/>
          <w:lang w:val="el" w:eastAsia="el"/>
        </w:rPr>
        <w:t xml:space="preserve">Τηλέφωνο: </w:t>
      </w:r>
      <w:r>
        <w:rPr>
          <w:lang w:val="el" w:eastAsia="el"/>
        </w:rPr>
        <w:t>210 – 3375312, 3375219</w:t>
      </w:r>
    </w:p>
    <w:p>
      <w:pPr>
        <w:spacing w:before="240" w:after="240"/>
        <w:rPr>
          <w:lang w:val="el" w:eastAsia="el"/>
        </w:rPr>
      </w:pPr>
      <w:r>
        <w:rPr>
          <w:b/>
          <w:bCs/>
          <w:lang w:val="el" w:eastAsia="el"/>
        </w:rPr>
        <w:t xml:space="preserve">ΦΑΞ : </w:t>
      </w:r>
      <w:r>
        <w:rPr>
          <w:lang w:val="el" w:eastAsia="el"/>
        </w:rPr>
        <w:t>210 – 3375001, 3375028</w:t>
      </w:r>
    </w:p>
    <w:p>
      <w:pPr>
        <w:spacing w:before="240" w:after="240"/>
        <w:rPr>
          <w:lang w:val="el" w:eastAsia="el"/>
        </w:rPr>
      </w:pPr>
      <w:r>
        <w:rPr>
          <w:b/>
          <w:bCs/>
          <w:lang w:val="el" w:eastAsia="el"/>
        </w:rPr>
        <w:t>ΘΕΜΑ: Τροποποίηση της ΠΟΛ 1097/9-4-2014 (Φ.Ε.Κ. Β΄883) Απόφασης του Γενικού Γραμματέα Δημοσίων Εσόδων.</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lang w:val="el" w:eastAsia="el"/>
        </w:rPr>
        <w:t>Έχοντας υπόψη:</w:t>
      </w:r>
    </w:p>
    <w:p>
      <w:pPr>
        <w:pStyle w:val="StructureList1"/>
        <w:spacing w:before="120" w:after="0"/>
        <w:rPr>
          <w:lang w:val="el" w:eastAsia="el"/>
        </w:rPr>
      </w:pPr>
      <w:r>
        <w:rPr>
          <w:lang w:val="el" w:eastAsia="el"/>
        </w:rPr>
        <w:t>α)</w:t>
      </w:r>
      <w:r>
        <w:rPr>
          <w:lang w:val="en" w:eastAsia="en"/>
        </w:rPr>
        <w:tab/>
      </w:r>
      <w:r>
        <w:rPr>
          <w:b/>
          <w:bCs/>
          <w:lang w:val="el" w:eastAsia="el"/>
        </w:rPr>
        <w:t>Τις διατάξεις του άρθρου 21 του Κώδικα Φορολογικής Διαδικασίας (ν.4174/2013, Α΄170), όπως ισχύουν.</w:t>
      </w:r>
    </w:p>
    <w:p>
      <w:pPr>
        <w:pStyle w:val="StructureList1"/>
        <w:spacing w:before="120" w:after="0"/>
        <w:rPr>
          <w:lang w:val="el" w:eastAsia="el"/>
        </w:rPr>
      </w:pPr>
      <w:r>
        <w:rPr>
          <w:b/>
          <w:bCs/>
          <w:lang w:val="el" w:eastAsia="el"/>
        </w:rPr>
        <w:t>β)</w:t>
      </w:r>
      <w:r>
        <w:rPr>
          <w:b/>
          <w:bCs/>
          <w:lang w:val="en" w:eastAsia="en"/>
        </w:rPr>
        <w:tab/>
      </w:r>
      <w:r>
        <w:rPr>
          <w:b/>
          <w:bCs/>
          <w:lang w:val="el" w:eastAsia="el"/>
        </w:rPr>
        <w:t>Τις διατάξεις των άρθρων 50 και 51 του Κώδικα Φορολογίας Εισοδήματος (ν.4172/2013, Α΄167), όπως ισχύουν.</w:t>
      </w:r>
    </w:p>
    <w:p>
      <w:pPr>
        <w:pStyle w:val="StructureList1"/>
        <w:spacing w:before="120" w:after="0"/>
        <w:rPr>
          <w:lang w:val="el" w:eastAsia="el"/>
        </w:rPr>
      </w:pPr>
      <w:r>
        <w:rPr>
          <w:b/>
          <w:bCs/>
          <w:lang w:val="el" w:eastAsia="el"/>
        </w:rPr>
        <w:t>γ)</w:t>
      </w:r>
      <w:r>
        <w:rPr>
          <w:b/>
          <w:bCs/>
          <w:lang w:val="en" w:eastAsia="en"/>
        </w:rPr>
        <w:tab/>
      </w:r>
      <w:r>
        <w:rPr>
          <w:b/>
          <w:bCs/>
          <w:lang w:val="el" w:eastAsia="el"/>
        </w:rPr>
        <w:t>Τις διατάξεις των περιπτώσεων γ’, δ’ και ζ’ του άρθρου 2 του Κώδικα Φορολογίας Εισοδήματος (ν.4172/2013, Α΄167), όπως ισχύουν.</w:t>
      </w:r>
    </w:p>
    <w:p>
      <w:pPr>
        <w:pStyle w:val="StructureList1"/>
        <w:spacing w:before="120" w:after="0"/>
        <w:rPr>
          <w:lang w:val="el" w:eastAsia="el"/>
        </w:rPr>
      </w:pPr>
      <w:r>
        <w:rPr>
          <w:b/>
          <w:bCs/>
          <w:lang w:val="el" w:eastAsia="el"/>
        </w:rPr>
        <w:t>δ)</w:t>
      </w:r>
      <w:r>
        <w:rPr>
          <w:b/>
          <w:bCs/>
          <w:lang w:val="en" w:eastAsia="en"/>
        </w:rPr>
        <w:tab/>
      </w:r>
      <w:r>
        <w:rPr>
          <w:b/>
          <w:bCs/>
          <w:lang w:val="el" w:eastAsia="el"/>
        </w:rPr>
        <w:t>Τις διατάξεις της υποπαραγράφου Ε2 της παρ. Ε’ του άρθρου πρώτου του ν.4093/2012 περί σύστασης θέσης Γενικού Γραμματέα Εσόδων (ΦΕΚ 222 Α΄-12/11/2012).</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ΦΕΚ: 1374/29.05.2014</w:t>
      </w:r>
    </w:p>
    <w:p>
      <w:pPr>
        <w:pStyle w:val="StructureList1"/>
        <w:spacing w:before="120" w:after="0"/>
        <w:rPr>
          <w:lang w:val="el" w:eastAsia="el"/>
        </w:rPr>
      </w:pPr>
      <w:r>
        <w:rPr>
          <w:b/>
          <w:bCs/>
          <w:lang w:val="el" w:eastAsia="el"/>
        </w:rPr>
        <w:t>ε)</w:t>
      </w:r>
      <w:r>
        <w:rPr>
          <w:b/>
          <w:bCs/>
          <w:lang w:val="en" w:eastAsia="en"/>
        </w:rPr>
        <w:tab/>
      </w:r>
      <w:r>
        <w:rPr>
          <w:b/>
          <w:bCs/>
          <w:lang w:val="el" w:eastAsia="el"/>
        </w:rPr>
        <w:t>Την Πράξη του Υπουργικού Συμβουλίου αριθ. 1 της 16-1-2013, (ΥΟΔΔ 18) «Επιλογή και Διορισμός Γενικού Γραμματέα Δημοσίων Εσόδων».</w:t>
      </w:r>
    </w:p>
    <w:p>
      <w:pPr>
        <w:spacing w:before="240" w:after="240"/>
        <w:rPr>
          <w:lang w:val="el" w:eastAsia="el"/>
        </w:rPr>
      </w:pPr>
      <w:r>
        <w:rPr>
          <w:b/>
          <w:bCs/>
          <w:lang w:val="el" w:eastAsia="el"/>
        </w:rPr>
        <w:t>στ)</w:t>
      </w:r>
      <w:r>
        <w:rPr>
          <w:b/>
          <w:bCs/>
          <w:lang w:val="el" w:eastAsia="el"/>
        </w:rPr>
        <w:t>Την αριθμ. ΠΟΛ 1097/9-4-2014 (Φ.Ε.Κ. Β΄ 883) απόφαση του Γενικού Γραμματέα Δημοσίων Εσόδων.</w:t>
      </w:r>
    </w:p>
    <w:p>
      <w:pPr>
        <w:pStyle w:val="StructureList1"/>
        <w:spacing w:before="120" w:after="0"/>
        <w:rPr>
          <w:lang w:val="el" w:eastAsia="el"/>
        </w:rPr>
      </w:pPr>
      <w:r>
        <w:rPr>
          <w:b/>
          <w:bCs/>
          <w:lang w:val="el" w:eastAsia="el"/>
        </w:rPr>
        <w:t>ζ)</w:t>
      </w:r>
      <w:r>
        <w:rPr>
          <w:b/>
          <w:bCs/>
          <w:lang w:val="en" w:eastAsia="en"/>
        </w:rPr>
        <w:tab/>
      </w:r>
      <w:r>
        <w:rPr>
          <w:b/>
          <w:bCs/>
          <w:lang w:val="el" w:eastAsia="el"/>
        </w:rPr>
        <w:t>Ότι με την παρούσα απόφαση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Τροποποιούμε την αριθμ. ΠΟΛ 1097/9-4-2014 (Φ.Ε.Κ. Β΄ 883) απόφαση του Γενικού Γραμματέα Δημοσίων Εσόδων ως ακολούθως:</w:t>
      </w:r>
    </w:p>
    <w:p>
      <w:pPr>
        <w:spacing w:before="240" w:after="240"/>
        <w:rPr>
          <w:lang w:val="el" w:eastAsia="el"/>
        </w:rPr>
      </w:pPr>
      <w:r>
        <w:rPr>
          <w:b/>
          <w:bCs/>
          <w:lang w:val="el" w:eastAsia="el"/>
        </w:rPr>
        <w:t>1. Στο τέλος του Κεφαλαίου Α΄ της ΠΟΛ 1097/2014 προστίθεται νέο εδάφιο που έχει ως εξής:</w:t>
      </w:r>
    </w:p>
    <w:p>
      <w:pPr>
        <w:spacing w:before="240" w:after="240"/>
        <w:rPr>
          <w:lang w:val="el" w:eastAsia="el"/>
        </w:rPr>
      </w:pPr>
      <w:r>
        <w:rPr>
          <w:b/>
          <w:bCs/>
          <w:lang w:val="el" w:eastAsia="el"/>
        </w:rPr>
        <w:t>«Για την εφαρμογή των προηγούμενων περιπτώσεων α’ και β’, ως κύκλος εργασιών, σε περίπτωση ομίλου, λαμβάνεται το μεγαλύτερο ποσό μεταξύ:</w:t>
      </w:r>
    </w:p>
    <w:p>
      <w:pPr>
        <w:spacing w:before="240" w:after="240"/>
        <w:rPr>
          <w:lang w:val="el" w:eastAsia="el"/>
        </w:rPr>
      </w:pPr>
      <w:r>
        <w:rPr>
          <w:b/>
          <w:bCs/>
          <w:lang w:val="el" w:eastAsia="el"/>
        </w:rPr>
        <w:t>ι) των ακαθαρίστων εσόδων του υπόχρεου όπως αυτά προκύπτουν σύμφωνα με τη φορολογική νομοθεσία και</w:t>
      </w:r>
    </w:p>
    <w:p>
      <w:pPr>
        <w:spacing w:before="240" w:after="240"/>
        <w:rPr>
          <w:lang w:val="el" w:eastAsia="el"/>
        </w:rPr>
      </w:pPr>
      <w:r>
        <w:rPr>
          <w:b/>
          <w:bCs/>
          <w:lang w:val="el" w:eastAsia="el"/>
        </w:rPr>
        <w:t>ιι ) του ποσού κατά το οποίο συμβάλλει ο υπόχρεος στα ακαθάριστα έσοδα του ενοποιημένου ισολογισμού του ομίλου σύμφωνα με τις αρχές και κανόνες των Δ.Π.Χ.Α. και Δ.Λ.Π., εφόσον υπάρχει υποχρέωση τήρησης αυτών.</w:t>
      </w:r>
    </w:p>
    <w:p>
      <w:pPr>
        <w:spacing w:before="240" w:after="240"/>
        <w:rPr>
          <w:lang w:val="el" w:eastAsia="el"/>
        </w:rPr>
      </w:pPr>
      <w:r>
        <w:rPr>
          <w:b/>
          <w:bCs/>
          <w:lang w:val="el" w:eastAsia="el"/>
        </w:rPr>
        <w:t>Σε περίπτωση μόνιμης εγκατάστασης αλλοδαπής επιχείρησης στην Ελλάδα αυτή θα πρέπει να διαθέτει στον έλεγχο και τα στοιχεία του κεντρικού της στην αλλοδαπή που να αποδεικνύουν το ύψος των μεταξύ τους συναλλαγών και των ακαθαρίστων εσόδων της.».</w:t>
      </w:r>
    </w:p>
    <w:p>
      <w:pPr>
        <w:spacing w:before="240" w:after="240"/>
        <w:rPr>
          <w:lang w:val="el" w:eastAsia="el"/>
        </w:rPr>
      </w:pPr>
      <w:r>
        <w:rPr>
          <w:b/>
          <w:bCs/>
          <w:lang w:val="el" w:eastAsia="el"/>
        </w:rPr>
        <w:t>2. Το κεφάλαιο Β΄ της ΠΟΛ 1097/2014 αντικαθίσταται ως εξής:</w:t>
      </w:r>
    </w:p>
    <w:p>
      <w:pPr>
        <w:spacing w:before="240" w:after="240"/>
        <w:rPr>
          <w:lang w:val="el" w:eastAsia="el"/>
        </w:rPr>
      </w:pPr>
      <w:r>
        <w:rPr>
          <w:b/>
          <w:bCs/>
          <w:lang w:val="el" w:eastAsia="el"/>
        </w:rPr>
        <w:t>«ΚΕΦΑΛΑΙΟ Β’</w:t>
      </w:r>
    </w:p>
    <w:p>
      <w:pPr>
        <w:spacing w:before="240" w:after="240"/>
        <w:rPr>
          <w:lang w:val="el" w:eastAsia="el"/>
        </w:rPr>
      </w:pPr>
      <w:r>
        <w:rPr>
          <w:b/>
          <w:bCs/>
          <w:lang w:val="el" w:eastAsia="el"/>
        </w:rPr>
        <w:t>ΠΕΡΙΕΧΟΜΕΝΟ ΦΑΚΕΛΟY ΤΕΚΜΗΡΙΩΣΗΣ</w:t>
      </w:r>
    </w:p>
    <w:p>
      <w:pPr>
        <w:spacing w:before="240" w:after="240"/>
        <w:rPr>
          <w:lang w:val="el" w:eastAsia="el"/>
        </w:rPr>
      </w:pPr>
      <w:r>
        <w:rPr>
          <w:b/>
          <w:bCs/>
          <w:lang w:val="el" w:eastAsia="el"/>
        </w:rPr>
        <w:t>Ο «φάκελος τεκμηρίωσης» αποτελείται από δύο μέρη, τον «βασικό φάκελο τεκμηρίωσης» και τον «ελληνικό φάκελο τεκμηρίωσης», ο οποίος συμπληρώνει τον «βασικό φάκελο» και περιέχει πρόσθετες πληροφορίες σχετικά με τις προς τεκμηρίωση συναλλαγές.</w:t>
      </w:r>
    </w:p>
    <w:p>
      <w:pPr>
        <w:spacing w:before="240" w:after="240"/>
        <w:rPr>
          <w:lang w:val="el" w:eastAsia="el"/>
        </w:rPr>
      </w:pPr>
      <w:r>
        <w:rPr>
          <w:b/>
          <w:bCs/>
          <w:lang w:val="el" w:eastAsia="el"/>
        </w:rPr>
        <w:t>α. Βασικός Φάκελος Τεκμηρίωσης</w:t>
      </w:r>
    </w:p>
    <w:p>
      <w:pPr>
        <w:spacing w:before="240" w:after="240"/>
        <w:rPr>
          <w:lang w:val="el" w:eastAsia="el"/>
        </w:rPr>
      </w:pPr>
      <w:r>
        <w:rPr>
          <w:b/>
          <w:bCs/>
          <w:lang w:val="el" w:eastAsia="el"/>
        </w:rPr>
        <w:t>Ο «βασικός φάκελος», ο οποίος σε περίπτωση ομίλου είναι κοινός για όλες τις επιχειρήσεις του ομίλου, περιέχει κοινές τυποποιημένες πληροφορίες για τον υπόχρεο, τις μόνιμες εγκαταστάσεις του και τα συνδεδεμένα με αυτόν πρόσωπα.</w:t>
      </w:r>
    </w:p>
    <w:p>
      <w:pPr>
        <w:spacing w:before="240" w:after="240"/>
        <w:rPr>
          <w:lang w:val="el" w:eastAsia="el"/>
        </w:rPr>
      </w:pPr>
      <w:r>
        <w:rPr>
          <w:b/>
          <w:bCs/>
          <w:lang w:val="el" w:eastAsia="el"/>
        </w:rPr>
        <w:t>Πιο αναλυτικά περιλαμβάνει τα εξής στοιχεία:</w:t>
      </w:r>
    </w:p>
    <w:p>
      <w:pPr>
        <w:spacing w:before="240" w:after="240"/>
        <w:rPr>
          <w:lang w:val="el" w:eastAsia="el"/>
        </w:rPr>
      </w:pPr>
      <w:r>
        <w:rPr>
          <w:b/>
          <w:bCs/>
          <w:lang w:val="el" w:eastAsia="el"/>
        </w:rPr>
        <w:t xml:space="preserve">αα) </w:t>
      </w:r>
      <w:r>
        <w:rPr>
          <w:b/>
          <w:bCs/>
          <w:lang w:val="el" w:eastAsia="el"/>
        </w:rPr>
        <w:t>μια γενική περιγραφή των δραστηριοτήτων και της στρατηγικής του υπόχρεου, συμπεριλαμβανομένων των αλλαγών που έγιναν σε σύγκριση με το προηγούμενο φορολογικό έτος,</w:t>
      </w:r>
    </w:p>
    <w:p>
      <w:pPr>
        <w:spacing w:before="240" w:after="240"/>
        <w:rPr>
          <w:lang w:val="el" w:eastAsia="el"/>
        </w:rPr>
      </w:pPr>
      <w:r>
        <w:rPr>
          <w:b/>
          <w:bCs/>
          <w:lang w:val="el" w:eastAsia="el"/>
        </w:rPr>
        <w:t xml:space="preserve">ββ) </w:t>
      </w:r>
      <w:r>
        <w:rPr>
          <w:b/>
          <w:bCs/>
          <w:lang w:val="el" w:eastAsia="el"/>
        </w:rPr>
        <w:t>μια γενική περιγραφή, σε περίπτωση ομίλου, της οργανωτικής, νομικής και λειτουργικής δομής του, που περιλαμβάνει το οργανόγραμμα, τον κατάλογο των μελών του, συμπεριλαμβανομένων των μόνιμων εγκαταστάσεων, περιγραφή της σχέσης σύνδεσης αυτών, καθώς και τις αλλαγές σε σύγκριση με το προηγούμενο φορολογικό έτος στην ιδιοκτησία των άυλων περιουσιακών στοιχείων, των χρηματοοικονομικών συναλλαγών και των φορολογικών αποτελεσμάτων του ομίλου,</w:t>
      </w:r>
    </w:p>
    <w:p>
      <w:pPr>
        <w:spacing w:before="240" w:after="240"/>
        <w:rPr>
          <w:lang w:val="el" w:eastAsia="el"/>
        </w:rPr>
      </w:pPr>
      <w:r>
        <w:rPr>
          <w:b/>
          <w:bCs/>
          <w:lang w:val="el" w:eastAsia="el"/>
        </w:rPr>
        <w:t xml:space="preserve">γγ) </w:t>
      </w:r>
      <w:r>
        <w:rPr>
          <w:b/>
          <w:bCs/>
          <w:lang w:val="el" w:eastAsia="el"/>
        </w:rPr>
        <w:t>μια γενική περιγραφή των συνδεδεμένων προσώπων ή και των μονίμων εγκαταστάσεών τους που συμμετέχουν στις προς τεκμηρίωση συναλλαγές,</w:t>
      </w:r>
    </w:p>
    <w:p>
      <w:pPr>
        <w:spacing w:before="240" w:after="240"/>
        <w:rPr>
          <w:lang w:val="el" w:eastAsia="el"/>
        </w:rPr>
      </w:pPr>
      <w:r>
        <w:rPr>
          <w:b/>
          <w:bCs/>
          <w:lang w:val="el" w:eastAsia="el"/>
        </w:rPr>
        <w:t xml:space="preserve">δδ) </w:t>
      </w:r>
      <w:r>
        <w:rPr>
          <w:b/>
          <w:bCs/>
          <w:lang w:val="el" w:eastAsia="el"/>
        </w:rPr>
        <w:t>μια γενική περιγραφή των προς τεκμηρίωση συναλλαγών στις οποίες συμμετέχουν τα συνδεδεμένα πρόσωπα, ήτοι μια γενική περιγραφή:</w:t>
      </w:r>
    </w:p>
    <w:p>
      <w:pPr>
        <w:spacing w:before="240" w:after="240"/>
        <w:rPr>
          <w:lang w:val="el" w:eastAsia="el"/>
        </w:rPr>
      </w:pPr>
      <w:r>
        <w:rPr>
          <w:b/>
          <w:bCs/>
          <w:lang w:val="el" w:eastAsia="el"/>
        </w:rPr>
        <w:t>(i) της φύσης των συναλλαγών (πώληση αγαθών, παροχή υπηρεσιών, χρηματοοικονομικές συναλλαγές, άυλα περιουσιακά στοιχεία, κλπ.),</w:t>
      </w:r>
    </w:p>
    <w:p>
      <w:pPr>
        <w:spacing w:before="240" w:after="240"/>
        <w:rPr>
          <w:lang w:val="el" w:eastAsia="el"/>
        </w:rPr>
      </w:pPr>
      <w:r>
        <w:rPr>
          <w:b/>
          <w:bCs/>
          <w:lang w:val="el" w:eastAsia="el"/>
        </w:rPr>
        <w:t>(ii) της ροής των τιμολογίων και</w:t>
      </w:r>
    </w:p>
    <w:p>
      <w:pPr>
        <w:spacing w:before="240" w:after="240"/>
        <w:rPr>
          <w:lang w:val="el" w:eastAsia="el"/>
        </w:rPr>
      </w:pPr>
      <w:r>
        <w:rPr>
          <w:b/>
          <w:bCs/>
          <w:lang w:val="el" w:eastAsia="el"/>
        </w:rPr>
        <w:t>(iii) του ύψους των συναλλαγών</w:t>
      </w:r>
    </w:p>
    <w:p>
      <w:pPr>
        <w:spacing w:before="240" w:after="240"/>
        <w:rPr>
          <w:lang w:val="el" w:eastAsia="el"/>
        </w:rPr>
      </w:pPr>
      <w:r>
        <w:rPr>
          <w:b/>
          <w:bCs/>
          <w:lang w:val="el" w:eastAsia="el"/>
        </w:rPr>
        <w:t xml:space="preserve">εε) </w:t>
      </w:r>
      <w:r>
        <w:rPr>
          <w:b/>
          <w:bCs/>
          <w:lang w:val="el" w:eastAsia="el"/>
        </w:rPr>
        <w:t>μια γενική περιγραφή των επιτελούμενων λειτουργιών, των κινδύνων που αντιμετωπίζονται, καθώς και των αλλαγών που μπορεί να επέρχονται στις λειτουργίες και στους κινδύνους σε σχέση με το προηγούμενο φορολογικό έτος,</w:t>
      </w:r>
    </w:p>
    <w:p>
      <w:pPr>
        <w:spacing w:before="240" w:after="240"/>
        <w:rPr>
          <w:lang w:val="el" w:eastAsia="el"/>
        </w:rPr>
      </w:pPr>
      <w:r>
        <w:rPr>
          <w:b/>
          <w:bCs/>
          <w:lang w:val="el" w:eastAsia="el"/>
        </w:rPr>
        <w:t xml:space="preserve">στστ) </w:t>
      </w:r>
      <w:r>
        <w:rPr>
          <w:b/>
          <w:bCs/>
          <w:lang w:val="el" w:eastAsia="el"/>
        </w:rPr>
        <w:t>την ιδιοκτησία άυλων περιουσιακών στοιχείων (διπλώματα ευρεσιτεχνίας, εμπορικά σήματα, εμπορικές ονομασίες, τεχνογνωσία, κλπ.) και την πληρωμή ή είσπραξη δικαιωμάτων,</w:t>
      </w:r>
    </w:p>
    <w:p>
      <w:pPr>
        <w:spacing w:before="240" w:after="240"/>
        <w:rPr>
          <w:lang w:val="el" w:eastAsia="el"/>
        </w:rPr>
      </w:pPr>
      <w:r>
        <w:rPr>
          <w:b/>
          <w:bCs/>
          <w:lang w:val="el" w:eastAsia="el"/>
        </w:rPr>
        <w:t xml:space="preserve">ζζ) </w:t>
      </w:r>
      <w:r>
        <w:rPr>
          <w:b/>
          <w:bCs/>
          <w:lang w:val="el" w:eastAsia="el"/>
        </w:rPr>
        <w:t>μια περιγραφή της τιμολογιακής πολιτικής του που να επεξηγεί την τήρηση της αρχής της ανοιχτής αγοράς (Arm’s Length Principle) στις ενδοομιλικές συναλλαγές,</w:t>
      </w:r>
    </w:p>
    <w:p>
      <w:pPr>
        <w:spacing w:before="240" w:after="240"/>
        <w:rPr>
          <w:lang w:val="el" w:eastAsia="el"/>
        </w:rPr>
      </w:pPr>
      <w:r>
        <w:rPr>
          <w:b/>
          <w:bCs/>
          <w:lang w:val="el" w:eastAsia="el"/>
        </w:rPr>
        <w:t xml:space="preserve">ηη) </w:t>
      </w:r>
      <w:r>
        <w:rPr>
          <w:b/>
          <w:bCs/>
          <w:lang w:val="el" w:eastAsia="el"/>
        </w:rPr>
        <w:t>κατάλογο συμφωνιών κατανομής κόστους, αποφάσεων προέγκρισης μεθοδολογίας ενδοομιλικής τιμολόγησης και δικαστικών αποφάσεων που αφορούν τα μέλη του ομίλου, σχετικά με τον καθορισμό των τιμών των ενδοομιλικών συναλλαγών τους,</w:t>
      </w:r>
    </w:p>
    <w:p>
      <w:pPr>
        <w:spacing w:before="240" w:after="240"/>
        <w:rPr>
          <w:lang w:val="el" w:eastAsia="el"/>
        </w:rPr>
      </w:pPr>
      <w:r>
        <w:rPr>
          <w:b/>
          <w:bCs/>
          <w:lang w:val="el" w:eastAsia="el"/>
        </w:rPr>
        <w:t xml:space="preserve">θθ) </w:t>
      </w:r>
      <w:r>
        <w:rPr>
          <w:b/>
          <w:bCs/>
          <w:lang w:val="el" w:eastAsia="el"/>
        </w:rPr>
        <w:t>περιγραφή των συναλλαγών που πραγματοποιήθηκαν εντός του φορολογικού έτους, με πρόσωπα που ο υπόχρεος κατέστη συνδεδεμένος ή διακόπηκε η σχέση σύνδεσης εντός του ιδίου φορολογικού έτους, πριν την σύνδεση ή μετά τη διακοπή προκειμένου να παρέχεται η δυνατότητα, εάν πληρούν τα κριτήρια συγκρισιμότητας, να χρησιμοποιηθούν ως συγκριτικά στοιχεία.</w:t>
      </w:r>
    </w:p>
    <w:p>
      <w:pPr>
        <w:spacing w:before="240" w:after="240"/>
        <w:rPr>
          <w:lang w:val="el" w:eastAsia="el"/>
        </w:rPr>
      </w:pPr>
      <w:r>
        <w:rPr>
          <w:b/>
          <w:bCs/>
          <w:lang w:val="el" w:eastAsia="el"/>
        </w:rPr>
        <w:t>β. Ελληνικός φάκελος τεκμηρίωσης</w:t>
      </w:r>
    </w:p>
    <w:p>
      <w:pPr>
        <w:spacing w:before="240" w:after="240"/>
        <w:rPr>
          <w:lang w:val="el" w:eastAsia="el"/>
        </w:rPr>
      </w:pPr>
      <w:r>
        <w:rPr>
          <w:b/>
          <w:bCs/>
          <w:lang w:val="el" w:eastAsia="el"/>
        </w:rPr>
        <w:t>Ο «Ελληνικός φάκελος τεκμηρίωσης» περιέχει τα ακόλουθα στοιχεία:</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ΦΕΚ: 1374/29.05.2014</w:t>
      </w:r>
    </w:p>
    <w:p>
      <w:pPr>
        <w:spacing w:before="240" w:after="240"/>
        <w:rPr>
          <w:lang w:val="el" w:eastAsia="el"/>
        </w:rPr>
      </w:pPr>
      <w:r>
        <w:rPr>
          <w:b/>
          <w:bCs/>
          <w:lang w:val="el" w:eastAsia="el"/>
        </w:rPr>
        <w:t xml:space="preserve">αα) </w:t>
      </w:r>
      <w:r>
        <w:rPr>
          <w:b/>
          <w:bCs/>
          <w:lang w:val="el" w:eastAsia="el"/>
        </w:rPr>
        <w:t>λεπτομερή περιγραφή του υπόχρεου και της στρατηγικής του, συμπεριλαμβανομένων των αλλαγών που έγιναν σε σύγκριση με το προηγούμενο φορολογικό έτος,</w:t>
      </w:r>
    </w:p>
    <w:p>
      <w:pPr>
        <w:spacing w:before="240" w:after="240"/>
        <w:rPr>
          <w:lang w:val="el" w:eastAsia="el"/>
        </w:rPr>
      </w:pPr>
      <w:r>
        <w:rPr>
          <w:b/>
          <w:bCs/>
          <w:lang w:val="el" w:eastAsia="el"/>
        </w:rPr>
        <w:t xml:space="preserve">ββ) </w:t>
      </w:r>
      <w:r>
        <w:rPr>
          <w:b/>
          <w:bCs/>
          <w:lang w:val="el" w:eastAsia="el"/>
        </w:rPr>
        <w:t>λεπτομερή περιγραφή των προς τεκμηρίωση συναλλαγών η οποία περιλαμβάνει:</w:t>
      </w:r>
    </w:p>
    <w:p>
      <w:pPr>
        <w:spacing w:before="240" w:after="240"/>
        <w:rPr>
          <w:lang w:val="el" w:eastAsia="el"/>
        </w:rPr>
      </w:pPr>
      <w:r>
        <w:rPr>
          <w:b/>
          <w:bCs/>
          <w:lang w:val="el" w:eastAsia="el"/>
        </w:rPr>
        <w:t>i) τη φύση των συναλλαγών (πώληση αγαθών, παροχή υπηρεσιών, χρηματοοικονομικές συναλλαγές, άυλα περιουσιακά στοιχεία, κλπ.),</w:t>
      </w:r>
    </w:p>
    <w:p>
      <w:pPr>
        <w:spacing w:before="240" w:after="240"/>
        <w:rPr>
          <w:lang w:val="el" w:eastAsia="el"/>
        </w:rPr>
      </w:pPr>
      <w:r>
        <w:rPr>
          <w:b/>
          <w:bCs/>
          <w:lang w:val="el" w:eastAsia="el"/>
        </w:rPr>
        <w:t>ii) τη ροή των τιμολογίων</w:t>
      </w:r>
    </w:p>
    <w:p>
      <w:pPr>
        <w:spacing w:before="240" w:after="240"/>
        <w:rPr>
          <w:lang w:val="el" w:eastAsia="el"/>
        </w:rPr>
      </w:pPr>
      <w:r>
        <w:rPr>
          <w:b/>
          <w:bCs/>
          <w:lang w:val="el" w:eastAsia="el"/>
        </w:rPr>
        <w:t>iii) το ύψος των συναλλαγών</w:t>
      </w:r>
    </w:p>
    <w:p>
      <w:pPr>
        <w:spacing w:before="240" w:after="240"/>
        <w:rPr>
          <w:lang w:val="el" w:eastAsia="el"/>
        </w:rPr>
      </w:pPr>
      <w:r>
        <w:rPr>
          <w:b/>
          <w:bCs/>
          <w:lang w:val="el" w:eastAsia="el"/>
        </w:rPr>
        <w:t>iv) περιγραφή των έκτακτων συναλλαγών ή γεγονότων, συμπεριλαμβανομένων εκείνων που προκύπτουν από τη μεταφορά λειτουργιών όπως αυτή ορίζεται από τις διατάξεις του άρθρου 51 του ν.4172/2013 (ΚΦΕ)</w:t>
      </w:r>
    </w:p>
    <w:p>
      <w:pPr>
        <w:spacing w:before="240" w:after="240"/>
        <w:rPr>
          <w:lang w:val="el" w:eastAsia="el"/>
        </w:rPr>
      </w:pPr>
      <w:r>
        <w:rPr>
          <w:b/>
          <w:bCs/>
          <w:lang w:val="el" w:eastAsia="el"/>
        </w:rPr>
        <w:t>v) ειδικότερα σε περίπτωση πώλησης/αγοράς ή μεταβίβασης άυλων περιουσιακών στοιχείων σε ή από συνδεδεμένο πρόσωπο, πρόσθετες πληροφορίες (σχετικά με τις συναλλαγές αυτές) για την τήρηση της αρχής των ίσων αποστάσεων, δηλαδή την τιμή στην οποία ένα ανεξάρτητο πρόσωπο θα ήταν διατεθειμένο να πουλήσει ή μεταβιβάσει και την αξία στην οποία ένα ανεξάρτητο πρόσωπο θα ήταν διατεθειμένο να αποκτήσει το εν λόγω άυλο περιουσιακό στοιχείο υπό συγκρίσιμες συνθήκες, λαμβάνοντας υπόψη τα αναμενόμενα οφέλη και τη χρησιμότητα για την επιχείρησή του</w:t>
      </w:r>
    </w:p>
    <w:p>
      <w:pPr>
        <w:spacing w:before="240" w:after="240"/>
        <w:rPr>
          <w:lang w:val="el" w:eastAsia="el"/>
        </w:rPr>
      </w:pPr>
      <w:r>
        <w:rPr>
          <w:b/>
          <w:bCs/>
          <w:lang w:val="el" w:eastAsia="el"/>
        </w:rPr>
        <w:t xml:space="preserve">γγ) </w:t>
      </w:r>
      <w:r>
        <w:rPr>
          <w:b/>
          <w:bCs/>
          <w:lang w:val="el" w:eastAsia="el"/>
        </w:rPr>
        <w:t>συγκριτική ανάλυση, ήτοι:</w:t>
      </w:r>
    </w:p>
    <w:p>
      <w:pPr>
        <w:spacing w:before="240" w:after="240"/>
        <w:rPr>
          <w:lang w:val="el" w:eastAsia="el"/>
        </w:rPr>
      </w:pPr>
      <w:r>
        <w:rPr>
          <w:b/>
          <w:bCs/>
          <w:lang w:val="el" w:eastAsia="el"/>
        </w:rPr>
        <w:t>i) χαρακτηριστικά των περιουσιακών στοιχείων και των υπηρεσιών, καθώς και συναφείς πληροφορίες σχετικά με εσωτερικά και/ή εξωτερικά συγκριτικά στοιχεία, εφόσον διατίθενται. Ειδικοί παράγοντες πρέπει να ληφθούν υπόψη προκειμένου να δικαιολογηθεί η συγκρισιμότητα των άυλων περιουσιακών στοιχείων και η σύμφωνη με την αρχή των ίσων αποστάσεων τιμή όπως: τα αναμενόμενα οφέλη, γεωγραφικοί περιορισμοί, μεταβίβαση δικαιωμάτων αποκλειστικότητας ή όχι, συμμετοχή του αποκτώντος στις μελλοντικές εξελίξεις</w:t>
      </w:r>
    </w:p>
    <w:p>
      <w:pPr>
        <w:spacing w:before="240" w:after="240"/>
        <w:rPr>
          <w:lang w:val="el" w:eastAsia="el"/>
        </w:rPr>
      </w:pPr>
      <w:r>
        <w:rPr>
          <w:b/>
          <w:bCs/>
          <w:lang w:val="el" w:eastAsia="el"/>
        </w:rPr>
        <w:t>ii) λειτουργική ανάλυση (επιτελούμενες λειτουργίες, περιουσιακά στοιχεία που χρησιμοποιούνται, επιχειρηματικοί κίνδυνοι),</w:t>
      </w:r>
    </w:p>
    <w:p>
      <w:pPr>
        <w:spacing w:before="240" w:after="240"/>
        <w:rPr>
          <w:lang w:val="el" w:eastAsia="el"/>
        </w:rPr>
      </w:pPr>
      <w:r>
        <w:rPr>
          <w:b/>
          <w:bCs/>
          <w:lang w:val="el" w:eastAsia="el"/>
        </w:rPr>
        <w:t>iii) συμβατικοί όροι,</w:t>
      </w:r>
    </w:p>
    <w:p>
      <w:pPr>
        <w:spacing w:before="240" w:after="240"/>
        <w:rPr>
          <w:lang w:val="el" w:eastAsia="el"/>
        </w:rPr>
      </w:pPr>
      <w:r>
        <w:rPr>
          <w:b/>
          <w:bCs/>
          <w:lang w:val="el" w:eastAsia="el"/>
        </w:rPr>
        <w:t>iv) οικονομικές συνθήκες και</w:t>
      </w:r>
    </w:p>
    <w:p>
      <w:pPr>
        <w:spacing w:before="240" w:after="240"/>
        <w:rPr>
          <w:lang w:val="el" w:eastAsia="el"/>
        </w:rPr>
      </w:pPr>
      <w:r>
        <w:rPr>
          <w:b/>
          <w:bCs/>
          <w:lang w:val="el" w:eastAsia="el"/>
        </w:rPr>
        <w:t>v) ειδικές στρατηγικές της επιχείρησης</w:t>
      </w:r>
    </w:p>
    <w:p>
      <w:pPr>
        <w:spacing w:before="240" w:after="240"/>
        <w:rPr>
          <w:lang w:val="el" w:eastAsia="el"/>
        </w:rPr>
      </w:pPr>
      <w:r>
        <w:rPr>
          <w:b/>
          <w:bCs/>
          <w:lang w:val="el" w:eastAsia="el"/>
        </w:rPr>
        <w:t xml:space="preserve">δδ) </w:t>
      </w:r>
      <w:r>
        <w:rPr>
          <w:b/>
          <w:bCs/>
          <w:lang w:val="el" w:eastAsia="el"/>
        </w:rPr>
        <w:t>επεξήγηση για την επιλογή και τον τρόπο εφαρμογής της/των μεθόδου/ων καθορισμού των τιμών των ενδοομιλικών συναλλαγών,</w:t>
      </w:r>
    </w:p>
    <w:p>
      <w:pPr>
        <w:spacing w:before="240" w:after="240"/>
        <w:rPr>
          <w:lang w:val="el" w:eastAsia="el"/>
        </w:rPr>
      </w:pPr>
      <w:r>
        <w:rPr>
          <w:b/>
          <w:bCs/>
          <w:lang w:val="el" w:eastAsia="el"/>
        </w:rPr>
        <w:t xml:space="preserve">εε) </w:t>
      </w:r>
      <w:r>
        <w:rPr>
          <w:b/>
          <w:bCs/>
          <w:lang w:val="el" w:eastAsia="el"/>
        </w:rPr>
        <w:t>περιγραφή της εφαρμογής της πολιτικής του υπόχρεου σχετικά με το καθορισμό των τιμών των ενδοομιλικών συναλλαγών,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ΦΕΚ: 1374/29.05.2014</w:t>
      </w:r>
    </w:p>
    <w:p>
      <w:pPr>
        <w:spacing w:before="240" w:after="240"/>
        <w:rPr>
          <w:lang w:val="el" w:eastAsia="el"/>
        </w:rPr>
      </w:pPr>
      <w:r>
        <w:rPr>
          <w:b/>
          <w:bCs/>
          <w:lang w:val="el" w:eastAsia="el"/>
        </w:rPr>
        <w:t xml:space="preserve">στστ) </w:t>
      </w:r>
      <w:r>
        <w:rPr>
          <w:b/>
          <w:bCs/>
          <w:lang w:val="el" w:eastAsia="el"/>
        </w:rPr>
        <w:t>δέσμευση του υπόχρεου να παρέχει κάθε συμπληρωματική πληροφορία σχετική με τις ενδοομιλικές συναλλαγές του, κατόπιν αιτήματος της Φορολογικής Διοίκησης και εντός εύλογης προθεσμίας, ιδιαιτέρως στη περίπτωση φορολογικού ελέγχου,</w:t>
      </w:r>
    </w:p>
    <w:p>
      <w:pPr>
        <w:spacing w:before="240" w:after="240"/>
        <w:rPr>
          <w:lang w:val="el" w:eastAsia="el"/>
        </w:rPr>
      </w:pPr>
      <w:r>
        <w:rPr>
          <w:b/>
          <w:bCs/>
          <w:lang w:val="el" w:eastAsia="el"/>
        </w:rPr>
        <w:t xml:space="preserve">ζζ) </w:t>
      </w:r>
      <w:r>
        <w:rPr>
          <w:b/>
          <w:bCs/>
          <w:lang w:val="el" w:eastAsia="el"/>
        </w:rPr>
        <w:t>δικαιολόγηση του τρόπου υπολογισμού της αναπροσαρμογής, όταν ο υπόχρεος αναπροσαρμόζει τα φορολογητέα κέρδη του προκειμένου να συμμορφωθεί με την αρχή των ίσων αποστάσεων,</w:t>
      </w:r>
    </w:p>
    <w:p>
      <w:pPr>
        <w:spacing w:before="240" w:after="240"/>
        <w:rPr>
          <w:lang w:val="el" w:eastAsia="el"/>
        </w:rPr>
      </w:pPr>
      <w:r>
        <w:rPr>
          <w:b/>
          <w:bCs/>
          <w:lang w:val="el" w:eastAsia="el"/>
        </w:rPr>
        <w:t xml:space="preserve">ηη) </w:t>
      </w:r>
      <w:r>
        <w:rPr>
          <w:b/>
          <w:bCs/>
          <w:lang w:val="el" w:eastAsia="el"/>
        </w:rPr>
        <w:t>περιγραφή και λεπτομερή αιτιολόγηση τυχόν προσαρμογών που έχουν γίνει για την επίτευξη συγκρισιμότητας,</w:t>
      </w:r>
    </w:p>
    <w:p>
      <w:pPr>
        <w:spacing w:before="240" w:after="240"/>
        <w:rPr>
          <w:lang w:val="el" w:eastAsia="el"/>
        </w:rPr>
      </w:pPr>
      <w:r>
        <w:rPr>
          <w:b/>
          <w:bCs/>
          <w:lang w:val="el" w:eastAsia="el"/>
        </w:rPr>
        <w:t xml:space="preserve">θθ) </w:t>
      </w:r>
      <w:r>
        <w:rPr>
          <w:b/>
          <w:bCs/>
          <w:lang w:val="el" w:eastAsia="el"/>
        </w:rPr>
        <w:t>πρόσθετες πληροφορίες για συναλλαγές που διενεργούνται με συνδεδεμένα πρόσωπα που είναι εγκατεστημένα ή έχουν τη φορολογική τους κατοικία σε κράτη μη συνεργάσιμα στο φορολογικό τομέα, που σε περίπτωση ομίλου θα περιλαμβάνουν και τα στοιχεία του ισολογισμού και της κατάστασης αποτελεσμάτων χρήσεως του/των συνδεδεμένου/ων προσώπου/ων,</w:t>
      </w:r>
    </w:p>
    <w:p>
      <w:pPr>
        <w:spacing w:before="240" w:after="240"/>
        <w:rPr>
          <w:lang w:val="el" w:eastAsia="el"/>
        </w:rPr>
      </w:pPr>
      <w:r>
        <w:rPr>
          <w:b/>
          <w:bCs/>
          <w:lang w:val="el" w:eastAsia="el"/>
        </w:rPr>
        <w:t xml:space="preserve">ιι) </w:t>
      </w:r>
      <w:r>
        <w:rPr>
          <w:b/>
          <w:bCs/>
          <w:lang w:val="el" w:eastAsia="el"/>
        </w:rPr>
        <w:t>διάγραμμα ροής των συναλλαγών, συμπεριλαμβανομένων και των έκτακτων,</w:t>
      </w:r>
    </w:p>
    <w:p>
      <w:pPr>
        <w:spacing w:before="240" w:after="240"/>
        <w:rPr>
          <w:lang w:val="el" w:eastAsia="el"/>
        </w:rPr>
      </w:pPr>
      <w:r>
        <w:rPr>
          <w:b/>
          <w:bCs/>
          <w:lang w:val="el" w:eastAsia="el"/>
        </w:rPr>
        <w:t xml:space="preserve">κκ) </w:t>
      </w:r>
      <w:r>
        <w:rPr>
          <w:b/>
          <w:bCs/>
          <w:lang w:val="el" w:eastAsia="el"/>
        </w:rPr>
        <w:t>αντίγραφα των συμβάσεων που διέπουν τις υπό τεκμηρίωση συναλλαγές.».</w:t>
      </w:r>
    </w:p>
    <w:p>
      <w:pPr>
        <w:spacing w:before="240" w:after="240"/>
        <w:rPr>
          <w:lang w:val="el" w:eastAsia="el"/>
        </w:rPr>
      </w:pPr>
      <w:r>
        <w:rPr>
          <w:b/>
          <w:bCs/>
          <w:lang w:val="el" w:eastAsia="el"/>
        </w:rPr>
        <w:t>3. Στην αρχή του Κεφαλαίου Γ’ της ΠΟΛ 1097/2014 προστίθεται εδάφιο που έχει ως εξής:</w:t>
      </w:r>
    </w:p>
    <w:p>
      <w:pPr>
        <w:spacing w:before="240" w:after="240"/>
        <w:rPr>
          <w:lang w:val="el" w:eastAsia="el"/>
        </w:rPr>
      </w:pPr>
      <w:r>
        <w:rPr>
          <w:b/>
          <w:bCs/>
          <w:lang w:val="el" w:eastAsia="el"/>
        </w:rPr>
        <w:t>«Κάθε υπόχρεο πρόσωπο θα πρέπει να τηρεί την αρχή των ίσων αποστάσεων κατά το χρόνο διενέργειας των συναλλαγών του με συνδεδεμένα πρόσωπα.».</w:t>
      </w:r>
    </w:p>
    <w:p>
      <w:pPr>
        <w:spacing w:before="240" w:after="240"/>
        <w:rPr>
          <w:lang w:val="el" w:eastAsia="el"/>
        </w:rPr>
      </w:pPr>
      <w:r>
        <w:rPr>
          <w:b/>
          <w:bCs/>
          <w:lang w:val="el" w:eastAsia="el"/>
        </w:rPr>
        <w:t>4. Το κεφάλαιο ΣΤ΄ της ΠΟΛ 1097/2014 αντικαθίσταται ως εξής:</w:t>
      </w:r>
    </w:p>
    <w:p>
      <w:pPr>
        <w:spacing w:before="240" w:after="240"/>
        <w:rPr>
          <w:lang w:val="el" w:eastAsia="el"/>
        </w:rPr>
      </w:pPr>
      <w:r>
        <w:rPr>
          <w:b/>
          <w:bCs/>
          <w:lang w:val="el" w:eastAsia="el"/>
        </w:rPr>
        <w:t>«ΚΕΦΑΛΑΙΟ ΣΤ’</w:t>
      </w:r>
    </w:p>
    <w:p>
      <w:pPr>
        <w:spacing w:before="240" w:after="240"/>
        <w:rPr>
          <w:lang w:val="el" w:eastAsia="el"/>
        </w:rPr>
      </w:pPr>
      <w:r>
        <w:rPr>
          <w:b/>
          <w:bCs/>
          <w:lang w:val="el" w:eastAsia="el"/>
        </w:rPr>
        <w:t>ΕΝΗΜΕΡΩΣΗ/ΕΠΙΚΑΙΡΟΠΟΙΗΣΗ ΤΟΥ ΦΑΚΕΛΟΥ ΤΕΚΜΗΡΙΩΣΗΣ</w:t>
      </w:r>
    </w:p>
    <w:p>
      <w:pPr>
        <w:spacing w:before="240" w:after="240"/>
        <w:rPr>
          <w:lang w:val="el" w:eastAsia="el"/>
        </w:rPr>
      </w:pPr>
      <w:r>
        <w:rPr>
          <w:b/>
          <w:bCs/>
          <w:lang w:val="el" w:eastAsia="el"/>
        </w:rPr>
        <w:t>Στο Φάκελο Τεκμηρίωσης περιλαμβάνεται ειδικό κεφάλαιο όπου περιγράφονται γεγονότα που έχουν αντίκτυπο στις πληροφορίες και τα στοιχεία που παρέχονται σε αυτόν και που οφείλονται σε οιαδήποτε μεταβολή των συνθηκών της αγοράς σε σχέση με το προηγούμενο φορολογικό έτος.</w:t>
      </w:r>
    </w:p>
    <w:p>
      <w:pPr>
        <w:spacing w:before="240" w:after="240"/>
        <w:rPr>
          <w:lang w:val="el" w:eastAsia="el"/>
        </w:rPr>
      </w:pPr>
      <w:r>
        <w:rPr>
          <w:b/>
          <w:bCs/>
          <w:lang w:val="el" w:eastAsia="el"/>
        </w:rPr>
        <w:t>Τόσο ο βασικός όσο και ο ελληνικός Φάκελος Τεκμηρίωσης θα πρέπει να επανεξετάζονται και επικαιροποιούνται προκειμένου να χρησιμοποιηθούν σε επόμενο φορολογικό έτος. Εάν ο φορολογούμενος αποδεικνύει ότι οι συνθήκες λειτουργίας του παρέμειναν αμετάβλητες, τα συγκριτικά στοιχεία που προέκυψαν από έρευνα σε βάσεις δεδομένων δύνανται να χρησιμοποιηθούν για τρία (3) φορολογικά έτη εφόσον τα χρηματοοικονομικά στοιχεία επικαιροποιούνται κάθε φορολογικό έτος, προκειμένου να αποδεικνύεται η τήρηση της αρχής των ίσων αποστάσεων.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ΦΕΚ: 1374/29.05.2014</w:t>
      </w:r>
    </w:p>
    <w:p>
      <w:pPr>
        <w:spacing w:before="240" w:after="240"/>
        <w:rPr>
          <w:lang w:val="el" w:eastAsia="el"/>
        </w:rPr>
      </w:pPr>
      <w:r>
        <w:rPr>
          <w:b/>
          <w:bCs/>
          <w:lang w:val="el" w:eastAsia="el"/>
        </w:rPr>
        <w:t>Ο υπόχρεος οφείλει να επικαιροποιεί πλήρως το φάκελο τεκμηρίωσης, προκειμένου να χρησιμοποιηθεί για το επόμενο φορολογικό έτος, εφόσον υπάρχει αλλαγή στις συνθήκες της αγοράς η οποία επηρεάζει τις πληροφορίες και τα στοιχεία που περιέχονται σε αυτόν.</w:t>
      </w:r>
    </w:p>
    <w:p>
      <w:pPr>
        <w:spacing w:before="240" w:after="240"/>
        <w:rPr>
          <w:lang w:val="el" w:eastAsia="el"/>
        </w:rPr>
      </w:pPr>
      <w:r>
        <w:rPr>
          <w:b/>
          <w:bCs/>
          <w:lang w:val="el" w:eastAsia="el"/>
        </w:rPr>
        <w:t>Η επικαιροποίηση του Φακέλου γίνεται εντός τεσσάρων (4) μηνών από το τέλος του φορολογικού έτους κατά τη διάρκεια του οποίου προέκυψε η ανάγκη επικαιροποίησης.».</w:t>
      </w:r>
    </w:p>
    <w:p>
      <w:pPr>
        <w:spacing w:before="240" w:after="240"/>
        <w:rPr>
          <w:lang w:val="el" w:eastAsia="el"/>
        </w:rPr>
      </w:pPr>
      <w:r>
        <w:rPr>
          <w:b/>
          <w:bCs/>
          <w:lang w:val="el" w:eastAsia="el"/>
        </w:rPr>
        <w:t>5. Το κεφάλαιο Ζ΄ της ΠΟΛ 1097/2014 αντικαθίσταται ως εξής:</w:t>
      </w:r>
    </w:p>
    <w:p>
      <w:pPr>
        <w:spacing w:before="240" w:after="240"/>
        <w:rPr>
          <w:lang w:val="el" w:eastAsia="el"/>
        </w:rPr>
      </w:pPr>
      <w:r>
        <w:rPr>
          <w:b/>
          <w:bCs/>
          <w:lang w:val="el" w:eastAsia="el"/>
        </w:rPr>
        <w:t>«ΚΕΦΑΛΑΙΟ Ζ’</w:t>
      </w:r>
    </w:p>
    <w:p>
      <w:pPr>
        <w:spacing w:before="240" w:after="240"/>
        <w:rPr>
          <w:lang w:val="el" w:eastAsia="el"/>
        </w:rPr>
      </w:pPr>
      <w:r>
        <w:rPr>
          <w:b/>
          <w:bCs/>
          <w:lang w:val="el" w:eastAsia="el"/>
        </w:rPr>
        <w:t xml:space="preserve">ΜΕΘΟΔΟΙ ΚΑΘΟΡΙΣΜΟΥ ΤΩΝ ΤΙΜΩΝ ΤΩΝ ΕΝΔΟΟΜΙΛΙΚΩΝ ΣΥΝΑΛΛΑΓΩΝ </w:t>
      </w:r>
    </w:p>
    <w:p>
      <w:pPr>
        <w:spacing w:before="240" w:after="240"/>
        <w:rPr>
          <w:lang w:val="el" w:eastAsia="el"/>
        </w:rPr>
      </w:pPr>
      <w:r>
        <w:rPr>
          <w:b/>
          <w:bCs/>
          <w:lang w:val="el" w:eastAsia="el"/>
        </w:rPr>
        <w:t xml:space="preserve">-ΑΠΟΔΕΚΤΟ ΕΥΡΟΣ ΤΙΜΩΝ Ή ΠΕΡΙΘΩΡΙΟΥ ΚΕΡΔΟΥΣ - </w:t>
      </w:r>
    </w:p>
    <w:p>
      <w:pPr>
        <w:spacing w:before="240" w:after="240"/>
        <w:rPr>
          <w:lang w:val="el" w:eastAsia="el"/>
        </w:rPr>
      </w:pPr>
      <w:r>
        <w:rPr>
          <w:b/>
          <w:bCs/>
          <w:lang w:val="el" w:eastAsia="el"/>
        </w:rPr>
        <w:t>ΜΗ ΠΛΗΡΕΙΣ Ή ΜΗ ΕΠΑΡΚΕΙΣΦΑΚΕΛΟΙ ΤΕΚΜΗΡΙΩΣΗΣ</w:t>
      </w:r>
    </w:p>
    <w:p>
      <w:pPr>
        <w:spacing w:before="240" w:after="240"/>
        <w:rPr>
          <w:lang w:val="el" w:eastAsia="el"/>
        </w:rPr>
      </w:pPr>
      <w:r>
        <w:rPr>
          <w:b/>
          <w:bCs/>
          <w:lang w:val="el" w:eastAsia="el"/>
        </w:rPr>
        <w:t>Για τον προσδιορισμό των τιμών των ενδοομιλικών συναλλαγών χρησιμοποιείται η «αρχή της ανοικτής αγοράς ή της ελεύθερης αγοράς ή των ίσων αποστάσεων (Arm’s Length Principle)», όπως περιγράφεται στο πρώτο εδάφιο της παραγράφου 1 του άρθρου 50 του ΚΦΕ. Η αρχή αυτή αποτυπώνεται στην παράγραφο 1 του άρθρου 9 του Προτύπου Φορολογικών Συμβάσεων Εισοδήματος και Κεφαλαίου του ΟΟΣΑ (OECD Model Tax Convention on Income and Capital) και έχει ως ακολούθως:</w:t>
      </w:r>
    </w:p>
    <w:p>
      <w:pPr>
        <w:spacing w:before="240" w:after="240"/>
        <w:rPr>
          <w:lang w:val="el" w:eastAsia="el"/>
        </w:rPr>
      </w:pPr>
      <w:r>
        <w:rPr>
          <w:b/>
          <w:bCs/>
          <w:lang w:val="el" w:eastAsia="el"/>
        </w:rPr>
        <w:t>«Εάν επικρατούν ή επιβάλλονται στις εμπορικές ή οικονομικές σχέσεις των δύο (συνδεδεμένων) επιχειρήσεων όροι διαφορετικοί από εκείνους που θα επικρατούσαν μεταξύ ανεξάρτητων επιχειρήσεων, τότε τα κέρδη τα οποία, αν δεν υπήρχαν οι όροι αυτοί, θα μπορούσαν να είχαν πραγματοποιηθεί από μια από τις επιχειρήσεις, αλλά λόγω αυτών των όρων δεν πραγματοποιήθηκαν, μπορούν να συμπεριληφθούν στα κέρδη της επιχείρησης αυτής και να φορολογηθούν ανάλογα.»</w:t>
      </w:r>
    </w:p>
    <w:p>
      <w:pPr>
        <w:spacing w:before="240" w:after="240"/>
        <w:rPr>
          <w:lang w:val="el" w:eastAsia="el"/>
        </w:rPr>
      </w:pPr>
      <w:r>
        <w:rPr>
          <w:b/>
          <w:bCs/>
          <w:lang w:val="el" w:eastAsia="el"/>
        </w:rPr>
        <w:t>Για την διαπίστωση εφαρμογής της παραπάνω αρχής, λαμβάνονται υπόψη, σύμφωνα με την παρ. 2 του άρθρου 50 του Κ.Φ.Ε., οι «Κατευθυντήριες Οδηγίες του ΟΟΣΑ περί Ενδοομιλικών Τιμολογήσεων για τις Πολυεθνικές Επιχειρήσεις και τις Φορολογικές Αρχές (OECD Transfer Pricing Guidelines for Tax Administrations and Multinational Enterprises)», όπως κάθε φορά επικαιροποιούνται (τελευταία επικαιροποιημένη έκδοση 2010).</w:t>
      </w:r>
    </w:p>
    <w:p>
      <w:pPr>
        <w:spacing w:before="240" w:after="240"/>
        <w:rPr>
          <w:lang w:val="el" w:eastAsia="el"/>
        </w:rPr>
      </w:pPr>
      <w:r>
        <w:rPr>
          <w:b/>
          <w:bCs/>
          <w:lang w:val="el" w:eastAsia="el"/>
        </w:rPr>
        <w:t>Σύμφωνα με τις οδηγίες αυτές, οι μέθοδοι διακρίνονται ανάλογα με τη λειτουργία που επιτελούν ως ακολούθως:</w:t>
      </w:r>
    </w:p>
    <w:p>
      <w:pPr>
        <w:spacing w:before="240" w:after="240"/>
        <w:rPr>
          <w:lang w:val="el" w:eastAsia="el"/>
        </w:rPr>
      </w:pPr>
      <w:r>
        <w:rPr>
          <w:b/>
          <w:bCs/>
          <w:lang w:val="el" w:eastAsia="el"/>
        </w:rPr>
        <w:t xml:space="preserve">α. </w:t>
      </w:r>
      <w:r>
        <w:rPr>
          <w:b/>
          <w:bCs/>
          <w:lang w:val="el" w:eastAsia="el"/>
        </w:rPr>
        <w:t>Στις παραδοσιακές ή κλασσικές μεθόδους:</w:t>
      </w:r>
    </w:p>
    <w:p>
      <w:pPr>
        <w:spacing w:before="240" w:after="240"/>
        <w:rPr>
          <w:lang w:val="el" w:eastAsia="el"/>
        </w:rPr>
      </w:pPr>
      <w:r>
        <w:rPr>
          <w:b/>
          <w:bCs/>
          <w:lang w:val="el" w:eastAsia="el"/>
        </w:rPr>
        <w:t>αα. Μέθοδος της συγκρίσιμης μη ελεγχόμενης τιμής</w:t>
      </w:r>
    </w:p>
    <w:p>
      <w:pPr>
        <w:spacing w:before="240" w:after="240"/>
        <w:rPr>
          <w:lang w:val="el" w:eastAsia="el"/>
        </w:rPr>
      </w:pPr>
      <w:r>
        <w:rPr>
          <w:b/>
          <w:bCs/>
          <w:lang w:val="el" w:eastAsia="el"/>
        </w:rPr>
        <w:t>ββ. Μέθοδος της τιμής μεταπώλησης</w:t>
      </w:r>
    </w:p>
    <w:p>
      <w:pPr>
        <w:spacing w:before="240" w:after="240"/>
        <w:rPr>
          <w:lang w:val="el" w:eastAsia="el"/>
        </w:rPr>
      </w:pPr>
      <w:r>
        <w:rPr>
          <w:b/>
          <w:bCs/>
          <w:lang w:val="el" w:eastAsia="el"/>
        </w:rPr>
        <w:t>γγ. Μέθοδος κόστους πλέον περιθώριο κέρδους.</w:t>
      </w:r>
    </w:p>
    <w:p>
      <w:pPr>
        <w:spacing w:before="240" w:after="240"/>
        <w:rPr>
          <w:lang w:val="el" w:eastAsia="el"/>
        </w:rPr>
      </w:pPr>
      <w:r>
        <w:rPr>
          <w:b/>
          <w:bCs/>
          <w:lang w:val="el" w:eastAsia="el"/>
        </w:rPr>
        <w:t xml:space="preserve">β. </w:t>
      </w:r>
      <w:r>
        <w:rPr>
          <w:b/>
          <w:bCs/>
          <w:lang w:val="el" w:eastAsia="el"/>
        </w:rPr>
        <w:t>Στις συναλλακτικές μεθόδους οι οποίες βασίζονται στα κέρδη (μικτά ή καθαρά) : αα. Μέθοδος του καθαρού περιθωρίου κέρδους συναλλαγής και ββ. Μέθοδος επιμερισμού κερδών.</w:t>
      </w:r>
    </w:p>
    <w:p>
      <w:pPr>
        <w:spacing w:before="240" w:after="240"/>
        <w:rPr>
          <w:lang w:val="el" w:eastAsia="el"/>
        </w:rPr>
      </w:pPr>
      <w:r>
        <w:rPr>
          <w:b/>
          <w:bCs/>
          <w:lang w:val="el" w:eastAsia="el"/>
        </w:rPr>
        <w:t>Μέθοδος της συγκρίσιμης μη ελεγχόμενης τιμής (Comparable Uncontrolled Price Method - CUP)</w:t>
      </w:r>
    </w:p>
    <w:p>
      <w:pPr>
        <w:spacing w:before="240" w:after="240"/>
        <w:rPr>
          <w:lang w:val="el" w:eastAsia="el"/>
        </w:rPr>
      </w:pPr>
      <w:r>
        <w:rPr>
          <w:b/>
          <w:bCs/>
          <w:lang w:val="el" w:eastAsia="el"/>
        </w:rPr>
        <w:t>Με βάση τη μέθοδο αυτή, η τιμή μιας ενδοομιλικής συναλλαγής συγκρίνεται με την τιμή μιας παρόμοιας συναλλαγής μεταξύ ανεξάρτητων επιχειρήσεων.</w:t>
      </w:r>
    </w:p>
    <w:p>
      <w:pPr>
        <w:spacing w:before="240" w:after="240"/>
        <w:rPr>
          <w:lang w:val="el" w:eastAsia="el"/>
        </w:rPr>
      </w:pPr>
      <w:r>
        <w:rPr>
          <w:b/>
          <w:bCs/>
          <w:lang w:val="el" w:eastAsia="el"/>
        </w:rPr>
        <w:t>Μέθοδος Τιμής Μεταπώλησης (Resale Price Method - RPM)</w:t>
      </w:r>
    </w:p>
    <w:p>
      <w:pPr>
        <w:spacing w:before="240" w:after="240"/>
        <w:rPr>
          <w:lang w:val="el" w:eastAsia="el"/>
        </w:rPr>
      </w:pPr>
      <w:r>
        <w:rPr>
          <w:b/>
          <w:bCs/>
          <w:lang w:val="el" w:eastAsia="el"/>
        </w:rPr>
        <w:t>Με βάση τη μέθοδο αυτή, η τιμή της ενδοομιλικής συναλλαγής είναι ίση με την τιμή μεταπώλησης προϊόντος ή υπηρεσίας που έχει αγοραστεί από συνδεδεμένη επιχείρηση σε ανεξάρτητη επιχείρηση μείον το μικτό περιθώριο κέρδους που θα πραγματοποιείτο σε παρόμοια συγκρίσιμη συναλλαγή μεταξύ ανεξαρτήτων επιχειρήσεων.</w:t>
      </w:r>
    </w:p>
    <w:p>
      <w:pPr>
        <w:spacing w:before="240" w:after="240"/>
        <w:rPr>
          <w:lang w:val="el" w:eastAsia="el"/>
        </w:rPr>
      </w:pPr>
      <w:r>
        <w:rPr>
          <w:b/>
          <w:bCs/>
          <w:lang w:val="el" w:eastAsia="el"/>
        </w:rPr>
        <w:t>Μέθοδος κόστους πλέον περιθώριο κέρδους (Cost plus Method - CPM)</w:t>
      </w:r>
    </w:p>
    <w:p>
      <w:pPr>
        <w:spacing w:before="240" w:after="240"/>
        <w:rPr>
          <w:lang w:val="el" w:eastAsia="el"/>
        </w:rPr>
      </w:pPr>
      <w:r>
        <w:rPr>
          <w:b/>
          <w:bCs/>
          <w:lang w:val="el" w:eastAsia="el"/>
        </w:rPr>
        <w:t>Με βάση τη μέθοδο αυτή, η τιμή μιας ενδοομιλικής συναλλαγής καθορίζεται εφαρμόζοντας επί του κόστους ένα κατάλληλο περιθώριο κέρδους, όπως αυτό θα ίσχυε σε μια συγκρίσιμη συναλλαγή μεταξύ ανεξάρτητων επιχειρήσεων. Για την εφαρμογή της μεθόδου αυτής λαμβάνονται υπόψη τα άμεσα και έμμεσα κόστη που βαρύνουν τη συναλλαγή.</w:t>
      </w:r>
    </w:p>
    <w:p>
      <w:pPr>
        <w:spacing w:before="240" w:after="240"/>
        <w:rPr>
          <w:lang w:val="el" w:eastAsia="el"/>
        </w:rPr>
      </w:pPr>
      <w:r>
        <w:rPr>
          <w:b/>
          <w:bCs/>
          <w:lang w:val="el" w:eastAsia="el"/>
        </w:rPr>
        <w:t>Μέθοδος του καθαρού περιθωρίου κέρδους συναλλαγής (Transactional Net Margin Method - TNMM)</w:t>
      </w:r>
    </w:p>
    <w:p>
      <w:pPr>
        <w:spacing w:before="240" w:after="240"/>
        <w:rPr>
          <w:lang w:val="el" w:eastAsia="el"/>
        </w:rPr>
      </w:pPr>
      <w:r>
        <w:rPr>
          <w:b/>
          <w:bCs/>
          <w:lang w:val="el" w:eastAsia="el"/>
        </w:rPr>
        <w:t>Με βάση τη μέθοδο αυτή, το καθαρό περιθώριο κέρδους μιας συναλλαγής μεταξύ συνδεδεμένων επιχειρήσεων σε σχέση με ένα κατάλληλο μέγεθος (π.χ. κύκλος εργασιών, κόστος, πάγια) συγκρίνεται με το καθαρό περιθώριο κέρδους το οποίο επιτυγχάνουν ανεξάρτητες επιχειρήσεις σε σχέση με το ίδιο μέγεθος και υπό παρόμοιες συνθήκες.</w:t>
      </w:r>
    </w:p>
    <w:p>
      <w:pPr>
        <w:spacing w:before="240" w:after="240"/>
        <w:rPr>
          <w:lang w:val="el" w:eastAsia="el"/>
        </w:rPr>
      </w:pPr>
      <w:r>
        <w:rPr>
          <w:b/>
          <w:bCs/>
          <w:lang w:val="el" w:eastAsia="el"/>
        </w:rPr>
        <w:t>Μέθοδος επιμερισμού κερδών (Profit Split Method - PSM)</w:t>
      </w:r>
    </w:p>
    <w:p>
      <w:pPr>
        <w:spacing w:before="240" w:after="240"/>
        <w:rPr>
          <w:lang w:val="el" w:eastAsia="el"/>
        </w:rPr>
      </w:pPr>
      <w:r>
        <w:rPr>
          <w:b/>
          <w:bCs/>
          <w:lang w:val="el" w:eastAsia="el"/>
        </w:rPr>
        <w:t>Με βάση τη μέθοδο αυτή, το καθαρό κέρδος ή η ζημία που προκύπτει από μία ενδοομιλική συναλλαγή κατανέμεται μεταξύ των συνδεδεμένων επιχειρήσεων ανάλογα με τη συνεισφορά τους στη συναλλαγή, όπως αυτό θα προέκυπτε σε μια συγκρίσιμη συναλλαγή μεταξύ ανεξαρτήτων επιχειρήσεων.</w:t>
      </w:r>
    </w:p>
    <w:p>
      <w:pPr>
        <w:spacing w:before="240" w:after="240"/>
        <w:rPr>
          <w:lang w:val="el" w:eastAsia="el"/>
        </w:rPr>
      </w:pPr>
      <w:r>
        <w:rPr>
          <w:b/>
          <w:bCs/>
          <w:lang w:val="el" w:eastAsia="el"/>
        </w:rPr>
        <w:t>Οι παραδοσιακές μέθοδοι είναι ο αμεσότερος τρόπος για να εξακριβωθεί κατά πόσον οι συναλλαγές μεταξύ συνδεδεμένων επιχειρήσεων ακολουθούν την αρχή της ελεύθερης αγοράς (Arm’s Length Principle). Κατά συνέπεια, οι παραδοσιακές μέθοδοι προτιμώνται των άλλων μεθόδων. Σε περίπτωση που δεν υπάρχουν διαθέσιμα ή επαρκή στοιχεία για την εφαρμογή των παραδοσιακών μεθόδων και συγκεκριμένα, εάν δεν υπάρχουν διαθέσιμα πλήρως συγκρίσιμα στοιχεία, οι επιχειρήσεις μπορούν αιτιολογημένα να εφαρμόσουν τις συναλλακτικές μεθόδους.</w:t>
      </w:r>
    </w:p>
    <w:p>
      <w:pPr>
        <w:spacing w:before="240" w:after="240"/>
        <w:rPr>
          <w:lang w:val="el" w:eastAsia="el"/>
        </w:rPr>
      </w:pPr>
      <w:r>
        <w:rPr>
          <w:b/>
          <w:bCs/>
          <w:lang w:val="el" w:eastAsia="el"/>
        </w:rPr>
        <w:t>Για την εφαρμογή των ως άνω μεθόδων, χρησιμοποιούνται συγκριτικά στοιχεία, τα οποία διακρίνονται σε:</w:t>
      </w:r>
    </w:p>
    <w:p>
      <w:pPr>
        <w:pStyle w:val="StructureList1"/>
        <w:spacing w:before="120" w:after="0"/>
        <w:rPr>
          <w:lang w:val="el" w:eastAsia="el"/>
        </w:rPr>
      </w:pPr>
      <w:r>
        <w:rPr>
          <w:b/>
          <w:bCs/>
          <w:lang w:val="el" w:eastAsia="el"/>
        </w:rPr>
        <w:t>α)</w:t>
      </w:r>
      <w:r>
        <w:rPr>
          <w:b/>
          <w:bCs/>
          <w:lang w:val="en" w:eastAsia="en"/>
        </w:rPr>
        <w:tab/>
      </w:r>
      <w:r>
        <w:rPr>
          <w:b/>
          <w:bCs/>
          <w:lang w:val="el" w:eastAsia="el"/>
        </w:rPr>
        <w:t>εσωτερικά, τα οποία προκύπτουν από συγκρίσιμες συναλλαγές της κρινόμενης επιχείρησης με μια ανεξάρτητη επιχείρηση ή συγκρίσιμες συναλλαγές μιας συνδεδεμένης με την κρινόμενη επιχείρηση με μια ανεξάρτητη επιχείρηση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εξωτερικά, τα οποία προκύπτουν από συγκρίσιμες συναλλαγές μεταξύ ανεξάρτητων προς την κρινόμενη επιχείρηση.</w:t>
      </w:r>
    </w:p>
    <w:p>
      <w:pPr>
        <w:spacing w:before="240" w:after="240"/>
        <w:rPr>
          <w:lang w:val="el" w:eastAsia="el"/>
        </w:rPr>
      </w:pPr>
      <w:r>
        <w:rPr>
          <w:b/>
          <w:bCs/>
          <w:lang w:val="el" w:eastAsia="el"/>
        </w:rPr>
        <w:t>Ως συγκρίσιμες συναλλαγές νοούνται αυτές οι οποίες ταυτίζονται ή παρουσιάζουν ομοιότητα ως προς το αντικείμενο και τα άλλα χαρακτηριστικά τους και των οποίων οι τυχόν διαφορές στους ειδικότερους όρους δεν μπορούν να επηρεάσουν σημαντικά το συμφωνούμενο τίμημα ή η επίδραση των διαφορών αυτών μπορεί να εξαλειφθεί μέσω κατάλληλων προσαρμογών.</w:t>
      </w:r>
    </w:p>
    <w:p>
      <w:pPr>
        <w:spacing w:before="240" w:after="240"/>
        <w:rPr>
          <w:lang w:val="el" w:eastAsia="el"/>
        </w:rPr>
      </w:pPr>
      <w:r>
        <w:rPr>
          <w:b/>
          <w:bCs/>
          <w:lang w:val="el" w:eastAsia="el"/>
        </w:rPr>
        <w:t>Παράγοντες που καθορίζουν και επηρεάζουν τη συγκρισιμότητα των συναλλαγών μεταξύ συνδεδεμένων επιχειρήσεων είναι:</w:t>
      </w:r>
    </w:p>
    <w:p>
      <w:pPr>
        <w:spacing w:before="240" w:after="240"/>
        <w:rPr>
          <w:lang w:val="el" w:eastAsia="el"/>
        </w:rPr>
      </w:pPr>
      <w:r>
        <w:rPr>
          <w:b/>
          <w:bCs/>
          <w:lang w:val="el" w:eastAsia="el"/>
        </w:rPr>
        <w:t xml:space="preserve">α. </w:t>
      </w:r>
      <w:r>
        <w:rPr>
          <w:b/>
          <w:bCs/>
          <w:lang w:val="el" w:eastAsia="el"/>
        </w:rPr>
        <w:t>τα χαρακτηριστικά των αγαθών ή υπηρεσιών που αποτελούν το αντικείμενο των συναλλαγών, όπως: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ενσώματα αγαθά, τα φυσικά χαρακτηριστικά προϊόντος, η ποιότητα, η αξιοπιστία, η διαθεσιμότητα, ο όγκος πωλήσεων,</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άυλα περιουσιακά στοιχεία, η μορφή της συναλλαγής (πώληση ή παραχώρηση χρήσης), το είδος του άυλου περιουσιακού στοιχείου, η διάρκεια και η έκταση της νομικής προστασίας, τα προσδοκώμενα οφέλη από τη χρήση αυτών,</w:t>
      </w:r>
    </w:p>
    <w:p>
      <w:pPr>
        <w:pStyle w:val="StructureList1"/>
        <w:spacing w:before="120" w:after="0"/>
        <w:rPr>
          <w:lang w:val="el" w:eastAsia="el"/>
        </w:rPr>
      </w:pPr>
      <w:r>
        <w:rPr>
          <w:b/>
          <w:bCs/>
          <w:lang w:val="el" w:eastAsia="el"/>
        </w:rPr>
        <w:t>-</w:t>
      </w:r>
      <w:r>
        <w:rPr>
          <w:b/>
          <w:bCs/>
          <w:lang w:val="en" w:eastAsia="en"/>
        </w:rPr>
        <w:tab/>
      </w:r>
      <w:r>
        <w:rPr>
          <w:b/>
          <w:bCs/>
          <w:lang w:val="el" w:eastAsia="el"/>
        </w:rPr>
        <w:t>για τις υπηρεσίες, η φύση και η έκταση παρεχόμενων υπηρεσιών.</w:t>
      </w:r>
    </w:p>
    <w:p>
      <w:pPr>
        <w:spacing w:before="240" w:after="240"/>
        <w:rPr>
          <w:lang w:val="el" w:eastAsia="el"/>
        </w:rPr>
      </w:pPr>
      <w:r>
        <w:rPr>
          <w:b/>
          <w:bCs/>
          <w:lang w:val="el" w:eastAsia="el"/>
        </w:rPr>
        <w:t xml:space="preserve">β. </w:t>
      </w:r>
      <w:r>
        <w:rPr>
          <w:b/>
          <w:bCs/>
          <w:lang w:val="el" w:eastAsia="el"/>
        </w:rPr>
        <w:t>οι σημαντικές οικονομικές λειτουργίες, οι κίνδυνοι που αναλαμβάνονται και τα μέσα (κτίρια, εξοπλισμός, άυλα, κλπ) που χρησιμοποιούνται, τα οποία αποτελούν στοιχεία της λειτουργικής ανάλυσης (functional analysis) που περιλαμβάνεται στον φάκελο τεκμηρίωσης.</w:t>
      </w:r>
    </w:p>
    <w:p>
      <w:pPr>
        <w:spacing w:before="240" w:after="240"/>
        <w:rPr>
          <w:lang w:val="el" w:eastAsia="el"/>
        </w:rPr>
      </w:pPr>
      <w:r>
        <w:rPr>
          <w:b/>
          <w:bCs/>
          <w:lang w:val="el" w:eastAsia="el"/>
        </w:rPr>
        <w:t xml:space="preserve">γ. </w:t>
      </w:r>
      <w:r>
        <w:rPr>
          <w:b/>
          <w:bCs/>
          <w:lang w:val="el" w:eastAsia="el"/>
        </w:rPr>
        <w:t>οι συμβατικοί όροι, δηλαδή ο καταμερισμός ευθυνών, κινδύνων και οφελών μεταξύ των συνδεδεμένων επιχειρήσεων (προθεσμίες, εγγυητικοί όροι σε συμβόλαια, κ.λπ.).</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ΦΕΚ: 1374/29.05.2014</w:t>
      </w:r>
    </w:p>
    <w:p>
      <w:pPr>
        <w:spacing w:before="240" w:after="240"/>
        <w:rPr>
          <w:lang w:val="el" w:eastAsia="el"/>
        </w:rPr>
      </w:pPr>
      <w:r>
        <w:rPr>
          <w:b/>
          <w:bCs/>
          <w:lang w:val="el" w:eastAsia="el"/>
        </w:rPr>
        <w:t xml:space="preserve">δ. </w:t>
      </w:r>
      <w:r>
        <w:rPr>
          <w:b/>
          <w:bCs/>
          <w:lang w:val="el" w:eastAsia="el"/>
        </w:rPr>
        <w:t>οι οικονομικές συνθήκες των συγκρινόμενων μερών και των συναλλαγών τους, (γεωγραφική θέση, αγοραστική δύναμη, ανταγωνιστικότητα, μέγεθος αγοράς, κόστος παραγωγής, κόστος εργασίας, κ.λπ.).</w:t>
      </w:r>
    </w:p>
    <w:p>
      <w:pPr>
        <w:spacing w:before="240" w:after="240"/>
        <w:rPr>
          <w:lang w:val="el" w:eastAsia="el"/>
        </w:rPr>
      </w:pPr>
      <w:r>
        <w:rPr>
          <w:b/>
          <w:bCs/>
          <w:lang w:val="el" w:eastAsia="el"/>
        </w:rPr>
        <w:t xml:space="preserve">ε. </w:t>
      </w:r>
      <w:r>
        <w:rPr>
          <w:b/>
          <w:bCs/>
          <w:lang w:val="el" w:eastAsia="el"/>
        </w:rPr>
        <w:t>ειδικές στρατηγικές που ασκούνται από την επιχείρηση (π.χ. προσπάθεια διείσδυσης σε αγορές, ανάπτυξη νέων και καινοτόμων προϊόντων, αύξηση μεριδίου αγοράς, κ.λπ.).</w:t>
      </w:r>
    </w:p>
    <w:p>
      <w:pPr>
        <w:spacing w:before="240" w:after="240"/>
        <w:rPr>
          <w:lang w:val="el" w:eastAsia="el"/>
        </w:rPr>
      </w:pPr>
      <w:r>
        <w:rPr>
          <w:b/>
          <w:bCs/>
          <w:lang w:val="el" w:eastAsia="el"/>
        </w:rPr>
        <w:t>Σε περίπτωση που διενεργούνται συναλλαγές που δεν μπορούν να διαχωριστούν από οικονομικής απόψεως, αυτές εξετάζονται ενιαία, τόσο ως προς τη συγκριτική ανάλυση όσο και ως προς την εφαρμογή της μεθόδου καθορισμού των τιμών των ενδοομιλικών συναλλαγών.</w:t>
      </w:r>
    </w:p>
    <w:p>
      <w:pPr>
        <w:spacing w:before="240" w:after="240"/>
        <w:rPr>
          <w:lang w:val="el" w:eastAsia="el"/>
        </w:rPr>
      </w:pPr>
      <w:r>
        <w:rPr>
          <w:b/>
          <w:bCs/>
          <w:lang w:val="el" w:eastAsia="el"/>
        </w:rPr>
        <w:t>Για την άντληση συγκριτικών στοιχείων οι επιχειρήσεις μπορούν να χρησιμοποιούν και οποιαδήποτε τράπεζα πληροφοριών, με υποχρεωτική αναφορά στο φάκελο τεκμηρίωσης των στοιχείων αυτής (ονομασία, πάροχος, έκδοση, πλήθος στοιχείων κ.λπ.).</w:t>
      </w:r>
    </w:p>
    <w:p>
      <w:pPr>
        <w:spacing w:before="240" w:after="240"/>
        <w:rPr>
          <w:lang w:val="el" w:eastAsia="el"/>
        </w:rPr>
      </w:pPr>
      <w:r>
        <w:rPr>
          <w:b/>
          <w:bCs/>
          <w:lang w:val="el" w:eastAsia="el"/>
        </w:rPr>
        <w:t>Σε περίπτωση που από την εφαρμογή της ακολουθούμενης μεθόδου ενδοομιλικής τιμολόγησης και τη χρήση συγκριτικών στοιχείων προκύπτει ένα εύρος τιμών ή κέρδους, απορρίπτεται το 25% των χαμηλότερων τιμών και το 25% των υψηλότερων, με τη χρήση τεταρτημόριων.</w:t>
      </w:r>
    </w:p>
    <w:p>
      <w:pPr>
        <w:spacing w:before="240" w:after="240"/>
        <w:rPr>
          <w:lang w:val="el" w:eastAsia="el"/>
        </w:rPr>
      </w:pPr>
      <w:r>
        <w:rPr>
          <w:b/>
          <w:bCs/>
          <w:lang w:val="el" w:eastAsia="el"/>
        </w:rPr>
        <w:t>Ο προσδιορισμός των τεταρτημορίων γίνεται ως εξής:</w:t>
      </w:r>
    </w:p>
    <w:p>
      <w:pPr>
        <w:spacing w:before="240" w:after="240"/>
        <w:rPr>
          <w:lang w:val="el" w:eastAsia="el"/>
        </w:rPr>
      </w:pPr>
      <w:r>
        <w:rPr>
          <w:b/>
          <w:bCs/>
          <w:lang w:val="el" w:eastAsia="el"/>
        </w:rPr>
        <w:t>Q1 = πρώτο τεταρτημόριο = 25</w:t>
      </w:r>
      <w:r>
        <w:rPr>
          <w:b/>
          <w:bCs/>
          <w:sz w:val="30"/>
          <w:szCs w:val="30"/>
          <w:vertAlign w:val="superscript"/>
          <w:lang w:val="el" w:eastAsia="el"/>
        </w:rPr>
        <w:t>ο</w:t>
      </w:r>
      <w:r>
        <w:rPr>
          <w:b/>
          <w:bCs/>
          <w:lang w:val="el" w:eastAsia="el"/>
        </w:rPr>
        <w:t xml:space="preserve"> εκατοστιαίο σημείο</w:t>
      </w:r>
    </w:p>
    <w:p>
      <w:pPr>
        <w:spacing w:before="240" w:after="240"/>
        <w:rPr>
          <w:lang w:val="el" w:eastAsia="el"/>
        </w:rPr>
      </w:pPr>
      <w:r>
        <w:rPr>
          <w:b/>
          <w:bCs/>
          <w:lang w:val="el" w:eastAsia="el"/>
        </w:rPr>
        <w:t>Q2 = διάμεσος = 50</w:t>
      </w:r>
      <w:r>
        <w:rPr>
          <w:b/>
          <w:bCs/>
          <w:sz w:val="30"/>
          <w:szCs w:val="30"/>
          <w:vertAlign w:val="superscript"/>
          <w:lang w:val="el" w:eastAsia="el"/>
        </w:rPr>
        <w:t>ο</w:t>
      </w:r>
      <w:r>
        <w:rPr>
          <w:b/>
          <w:bCs/>
          <w:lang w:val="el" w:eastAsia="el"/>
        </w:rPr>
        <w:t xml:space="preserve"> εκατοστιαίο σημείο</w:t>
      </w:r>
    </w:p>
    <w:p>
      <w:pPr>
        <w:spacing w:before="240" w:after="240"/>
        <w:rPr>
          <w:lang w:val="el" w:eastAsia="el"/>
        </w:rPr>
      </w:pPr>
      <w:r>
        <w:rPr>
          <w:b/>
          <w:bCs/>
          <w:lang w:val="el" w:eastAsia="el"/>
        </w:rPr>
        <w:t>Q3 = τρίτο τεταρτημόριο = 75</w:t>
      </w:r>
      <w:r>
        <w:rPr>
          <w:b/>
          <w:bCs/>
          <w:sz w:val="30"/>
          <w:szCs w:val="30"/>
          <w:vertAlign w:val="superscript"/>
          <w:lang w:val="el" w:eastAsia="el"/>
        </w:rPr>
        <w:t>ο</w:t>
      </w:r>
      <w:r>
        <w:rPr>
          <w:b/>
          <w:bCs/>
          <w:lang w:val="el" w:eastAsia="el"/>
        </w:rPr>
        <w:t xml:space="preserve"> εκατοστιαίο σημείο</w:t>
      </w:r>
    </w:p>
    <w:p>
      <w:pPr>
        <w:spacing w:before="240" w:after="240"/>
        <w:rPr>
          <w:lang w:val="el" w:eastAsia="el"/>
        </w:rPr>
      </w:pPr>
      <w:r>
        <w:rPr>
          <w:b/>
          <w:bCs/>
          <w:lang w:val="el" w:eastAsia="el"/>
        </w:rPr>
        <w:t>Ως συμβατή με την αρχή της ελεύθερης αγοράς (Arm’s Length Principle), θεωρείται οποιαδήποτε τιμή μεταξύ του πρώτου και του τρίτου τεταρτημόριου (25</w:t>
      </w:r>
      <w:r>
        <w:rPr>
          <w:b/>
          <w:bCs/>
          <w:sz w:val="30"/>
          <w:szCs w:val="30"/>
          <w:vertAlign w:val="superscript"/>
          <w:lang w:val="el" w:eastAsia="el"/>
        </w:rPr>
        <w:t>ου</w:t>
      </w:r>
      <w:r>
        <w:rPr>
          <w:b/>
          <w:bCs/>
          <w:lang w:val="el" w:eastAsia="el"/>
        </w:rPr>
        <w:t xml:space="preserve"> εκατοστιαίου σημείου έως και του 75</w:t>
      </w:r>
      <w:r>
        <w:rPr>
          <w:b/>
          <w:bCs/>
          <w:sz w:val="30"/>
          <w:szCs w:val="30"/>
          <w:vertAlign w:val="superscript"/>
          <w:lang w:val="el" w:eastAsia="el"/>
        </w:rPr>
        <w:t>ου</w:t>
      </w:r>
      <w:r>
        <w:rPr>
          <w:b/>
          <w:bCs/>
          <w:lang w:val="el" w:eastAsia="el"/>
        </w:rPr>
        <w:t xml:space="preserve"> εκατοστιαίου σημείου), με επαρκή αιτιολόγηση της επιλογής.».</w:t>
      </w:r>
    </w:p>
    <w:p>
      <w:pPr>
        <w:spacing w:before="240" w:after="240"/>
        <w:rPr>
          <w:lang w:val="el" w:eastAsia="el"/>
        </w:rPr>
      </w:pPr>
      <w:r>
        <w:rPr>
          <w:b/>
          <w:bCs/>
          <w:lang w:val="el" w:eastAsia="el"/>
        </w:rPr>
        <w:t>6. Το κεφάλαιο Η΄ της ΠΟΛ1097/2014 αναριθμείται σε Θ΄ και προστίθεται νέο κεφάλαιο Η΄ που έχει ως εξής:</w:t>
      </w:r>
    </w:p>
    <w:p>
      <w:pPr>
        <w:spacing w:before="240" w:after="240"/>
        <w:rPr>
          <w:lang w:val="el" w:eastAsia="el"/>
        </w:rPr>
      </w:pPr>
      <w:r>
        <w:rPr>
          <w:b/>
          <w:bCs/>
          <w:lang w:val="el" w:eastAsia="el"/>
        </w:rPr>
        <w:t>«ΚΕΦΑΛΑΙΟ Η’ΜΗ ΠΛΗΡΗΣ Ή ΜΗ ΕΠΑΡΚΗΣ ΦΑΚΕΛΟΣ ΤΕΚΜΗΡΙΩΣΗΣΚΑΙ ΑΝΑΚΡΙΒΗΣ Η΄ΑΤΕΛΗΣ ΣΥΝΟΠΤΙΚΟΣ ΠΙΝΑΚΑΣ ΠΛΗΡΟΦΟΡΙΩΝ</w:t>
      </w:r>
    </w:p>
    <w:p>
      <w:pPr>
        <w:spacing w:before="240" w:after="240"/>
        <w:rPr>
          <w:lang w:val="el" w:eastAsia="el"/>
        </w:rPr>
      </w:pPr>
      <w:r>
        <w:rPr>
          <w:b/>
          <w:bCs/>
          <w:lang w:val="el" w:eastAsia="el"/>
        </w:rPr>
        <w:t>Προκειμένου για την εφαρμογή των διατάξεων του άρθρου 56 του ν.4174/2013, ο Φάκελος Τεκμηρίωσης θεωρείται μη πλήρης ή μη επαρκής εφόσον δεν έχει καταρτιστεί σύμφωνα με τα οριζόμενα στην παρούσα απόφαση, έχει ελλείψεις ως προς το περιεχόμενο ή</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ΦΕΚ: 1374/29.05.2014</w:t>
      </w:r>
    </w:p>
    <w:p>
      <w:pPr>
        <w:spacing w:before="240" w:after="240"/>
        <w:rPr>
          <w:lang w:val="el" w:eastAsia="el"/>
        </w:rPr>
      </w:pPr>
      <w:r>
        <w:rPr>
          <w:b/>
          <w:bCs/>
          <w:lang w:val="el" w:eastAsia="el"/>
        </w:rPr>
        <w:t>περιλαμβάνει ανακριβείς πληροφορίες που καθιστούν ανέφικτες τις ελεγκτικές επαληθεύσεις ορθότητας υπολογισμού ή τεκμηρίωσης των τιμών των ενδοομιλικών συναλλαγών και οι οποίες δεν θεραπεύονται από τις πρόσθετες πληροφορίες που παρέχονται στον έλεγχο.</w:t>
      </w:r>
    </w:p>
    <w:p>
      <w:pPr>
        <w:spacing w:before="240" w:after="240"/>
        <w:rPr>
          <w:lang w:val="el" w:eastAsia="el"/>
        </w:rPr>
      </w:pPr>
      <w:r>
        <w:rPr>
          <w:b/>
          <w:bCs/>
          <w:lang w:val="el" w:eastAsia="el"/>
        </w:rPr>
        <w:t>Ο συνοπτικός πίνακας πληροφοριών θεωρείται ανακριβής/ατελής όταν δεν συμφωνεί με το περιεχόμενο του φακέλου τεκμηρίωσης και όταν δε δηλώνονται σε αυτόν ορθά και πλήρως τα οριζόμενα στοιχεία του παραρτήματος της ΠΟΛ 1097/9-4-2014.».</w:t>
      </w:r>
    </w:p>
    <w:p>
      <w:pPr>
        <w:spacing w:before="240" w:after="240"/>
        <w:rPr>
          <w:lang w:val="el" w:eastAsia="el"/>
        </w:rPr>
      </w:pPr>
      <w:r>
        <w:rPr>
          <w:b/>
          <w:bCs/>
          <w:lang w:val="el" w:eastAsia="el"/>
        </w:rPr>
        <w:t>Κατά τα λοιπά ισχύει η ΠΟΛ 1097/9-4-2014 (Φ.Ε.Κ. Β΄883) απόφαση του Γενικού Γραμματέα Δημοσίων Εσόδων.</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b/>
          <w:bCs/>
          <w:lang w:val="el" w:eastAsia="el"/>
        </w:rPr>
        <w:t>ΘΕΟΧΑΡΗΣ ΘΕΟΧΑΡΗΣ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Εθνικό Τυπογραφείο ( για δημοσίευση της απόφασης αυτής στην Εφημερίδα της Κυβερνήσεως)</w:t>
      </w:r>
    </w:p>
    <w:p>
      <w:pPr>
        <w:spacing w:before="240" w:after="240"/>
        <w:rPr>
          <w:lang w:val="el" w:eastAsia="el"/>
        </w:rPr>
      </w:pPr>
      <w:r>
        <w:rPr>
          <w:b/>
          <w:bCs/>
          <w:lang w:val="el" w:eastAsia="el"/>
        </w:rPr>
        <w:t>2. Αποδέκτες πίνακα Β’ (εκτός του αριθμού 2 αυτού)</w:t>
      </w:r>
    </w:p>
    <w:p>
      <w:pPr>
        <w:spacing w:before="240" w:after="240"/>
        <w:rPr>
          <w:lang w:val="el" w:eastAsia="el"/>
        </w:rPr>
      </w:pPr>
      <w:r>
        <w:rPr>
          <w:b/>
          <w:bCs/>
          <w:lang w:val="el" w:eastAsia="el"/>
        </w:rPr>
        <w:t>3. Διεύθυνση Ηλεκτρονικής Διακυβέρνησης (e- εφαρμογές)</w:t>
      </w:r>
    </w:p>
    <w:p>
      <w:pPr>
        <w:spacing w:before="240" w:after="240"/>
        <w:rPr>
          <w:lang w:val="el" w:eastAsia="el"/>
        </w:rPr>
      </w:pPr>
      <w:r>
        <w:rPr>
          <w:b/>
          <w:bCs/>
          <w:lang w:val="el" w:eastAsia="el"/>
        </w:rPr>
        <w:t>4. Οικονομικές Επιθεωρήσεις</w:t>
      </w:r>
    </w:p>
    <w:p>
      <w:pPr>
        <w:spacing w:before="240" w:after="240"/>
        <w:rPr>
          <w:lang w:val="el" w:eastAsia="el"/>
        </w:rPr>
      </w:pPr>
      <w:r>
        <w:rPr>
          <w:b/>
          <w:bCs/>
          <w:lang w:val="el" w:eastAsia="el"/>
        </w:rPr>
        <w:t>5. Κεντρική Υπηρεσία ΣΔΟΕ και τις Περιφερειακές Διευθύνσεις της</w:t>
      </w:r>
    </w:p>
    <w:p>
      <w:pPr>
        <w:spacing w:before="240" w:after="240"/>
        <w:rPr>
          <w:lang w:val="el" w:eastAsia="el"/>
        </w:rPr>
      </w:pPr>
      <w:r>
        <w:rPr>
          <w:b/>
          <w:bCs/>
          <w:lang w:val="el" w:eastAsia="el"/>
        </w:rPr>
        <w:t>6. Δ/νση Υποστήριξης Ηλεκτρονικά Συναλλασσομένων (e- υπηρεσίες) (με την παράκληση να αναρτηθεί στην ιστοσελίδα της Γ.Γ.Δ.Ε.)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Αποδέκτες πινάκων Α’, ΣΤ’ (εκτός των αριθ.1 και 2 αυτού), Ζ’ (εκτός των αριθμών 3, 4 και 7), Η’, Θ’, Ι’, ΙΑ’, ΙΒ’, ΙΓ’, ΙΔ’, ΙΕ’, ΙΣΤ’, ΙΖ’, ΙΗ’, ΙΘ’, Κ’, ΚΑ’, ΚΒ’ και ΚΓ’</w:t>
      </w:r>
    </w:p>
    <w:p>
      <w:pPr>
        <w:spacing w:before="240" w:after="240"/>
        <w:rPr>
          <w:lang w:val="el" w:eastAsia="el"/>
        </w:rPr>
      </w:pPr>
      <w:r>
        <w:rPr>
          <w:b/>
          <w:bCs/>
          <w:lang w:val="el" w:eastAsia="el"/>
        </w:rPr>
        <w:t>2. Υπουργείο Ανάπτυξης και Ανταγωνιστικότητας, Διεύθυνση Ανωνύμων Εταιριών και Πίστεως, Πλ. Κάνιγγος - 101 81 ΑΘΗΝΑ</w:t>
      </w:r>
    </w:p>
    <w:p>
      <w:pPr>
        <w:spacing w:before="240" w:after="240"/>
        <w:rPr>
          <w:lang w:val="el" w:eastAsia="el"/>
        </w:rPr>
      </w:pPr>
      <w:r>
        <w:rPr>
          <w:b/>
          <w:bCs/>
          <w:lang w:val="el" w:eastAsia="el"/>
        </w:rPr>
        <w:t>3. Υπουργείο Οικονομικών, Επιτροπή Λογιστικής Τυποποίησης και Ελέγχων (ΕΛΤΕ), Βουλής 7 - 105 62 ΑΘΗΝΑ</w:t>
      </w:r>
    </w:p>
    <w:p>
      <w:pPr>
        <w:spacing w:before="240" w:after="240"/>
        <w:rPr>
          <w:lang w:val="el" w:eastAsia="el"/>
        </w:rPr>
      </w:pPr>
      <w:r>
        <w:rPr>
          <w:b/>
          <w:bCs/>
          <w:lang w:val="el" w:eastAsia="el"/>
        </w:rPr>
        <w:t>4. ΠΕΡΙΟΔΙΚΟ «ΦΟΡΟΛΟΓΙΚΗ ΕΠΙΘΕΩΡΗΣΗ»</w:t>
      </w:r>
    </w:p>
    <w:p>
      <w:pPr>
        <w:spacing w:before="240" w:after="240"/>
        <w:rPr>
          <w:lang w:val="el" w:eastAsia="el"/>
        </w:rPr>
      </w:pPr>
      <w:r>
        <w:rPr>
          <w:b/>
          <w:bCs/>
          <w:lang w:val="el" w:eastAsia="el"/>
        </w:rPr>
        <w:t>5. Π.Ο.Ε.- Δ.Ο.Υ.</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Γραφείο κ. Υπουργού</w:t>
      </w:r>
    </w:p>
    <w:p>
      <w:pPr>
        <w:spacing w:before="240" w:after="240"/>
        <w:rPr>
          <w:lang w:val="el" w:eastAsia="el"/>
        </w:rPr>
      </w:pPr>
      <w:r>
        <w:rPr>
          <w:b/>
          <w:bCs/>
          <w:lang w:val="el" w:eastAsia="el"/>
        </w:rPr>
        <w:t>Γραφείο κ. Υφυπουργού</w:t>
      </w:r>
    </w:p>
    <w:p>
      <w:pPr>
        <w:spacing w:before="240" w:after="240"/>
        <w:rPr>
          <w:lang w:val="el" w:eastAsia="el"/>
        </w:rPr>
      </w:pPr>
      <w:r>
        <w:rPr>
          <w:b/>
          <w:bCs/>
          <w:lang w:val="el" w:eastAsia="el"/>
        </w:rPr>
        <w:t>Γραφείο Γενικής Γραμματέα κας. Παπακωνσταντίνου</w:t>
      </w:r>
    </w:p>
    <w:p>
      <w:pPr>
        <w:spacing w:before="240" w:after="240"/>
        <w:rPr>
          <w:lang w:val="el" w:eastAsia="el"/>
        </w:rPr>
      </w:pPr>
      <w:r>
        <w:rPr>
          <w:b/>
          <w:bCs/>
          <w:lang w:val="el" w:eastAsia="el"/>
        </w:rPr>
        <w:t>Γραφείο Γενικού Γραμματέα Δημοσίων Εσόδων κ. Θεοχάρη</w:t>
      </w:r>
    </w:p>
    <w:p>
      <w:pPr>
        <w:spacing w:before="240" w:after="240"/>
        <w:rPr>
          <w:lang w:val="el" w:eastAsia="el"/>
        </w:rPr>
      </w:pPr>
      <w:r>
        <w:rPr>
          <w:b/>
          <w:bCs/>
          <w:lang w:val="el" w:eastAsia="el"/>
        </w:rPr>
        <w:t>5. Γραφεία κ.κ. Γενικών Δ/ντών</w:t>
      </w:r>
    </w:p>
    <w:p>
      <w:pPr>
        <w:spacing w:before="240" w:after="240"/>
        <w:rPr>
          <w:lang w:val="el" w:eastAsia="el"/>
        </w:rPr>
      </w:pPr>
      <w:r>
        <w:rPr>
          <w:b/>
          <w:bCs/>
          <w:lang w:val="el" w:eastAsia="el"/>
        </w:rPr>
        <w:t>6. Γραφείο Τύπου και Δημοσίων Σχέσεων</w:t>
      </w:r>
    </w:p>
    <w:p>
      <w:pPr>
        <w:spacing w:before="240" w:after="240"/>
        <w:rPr>
          <w:lang w:val="el" w:eastAsia="el"/>
        </w:rPr>
      </w:pPr>
      <w:r>
        <w:rPr>
          <w:b/>
          <w:bCs/>
          <w:lang w:val="el" w:eastAsia="el"/>
        </w:rPr>
        <w:t>7. Γραφείο Επικοινωνίας και Πληροφόρησης Πολιτών</w:t>
      </w:r>
    </w:p>
    <w:p>
      <w:pPr>
        <w:spacing w:before="240" w:after="240"/>
        <w:rPr>
          <w:lang w:val="el" w:eastAsia="el"/>
        </w:rPr>
      </w:pPr>
      <w:r>
        <w:rPr>
          <w:b/>
          <w:bCs/>
          <w:lang w:val="el" w:eastAsia="el"/>
        </w:rPr>
        <w:t>8. Γεν. Δ/νση Οικονομικής Επιθεώρησης - Θεμιστοκλέους 5 – 101 84 ΑΘΗΝΑ</w:t>
      </w:r>
    </w:p>
    <w:p>
      <w:pPr>
        <w:spacing w:before="240" w:after="240"/>
        <w:rPr>
          <w:lang w:val="el" w:eastAsia="el"/>
        </w:rPr>
      </w:pPr>
      <w:r>
        <w:rPr>
          <w:b/>
          <w:bCs/>
          <w:lang w:val="el" w:eastAsia="el"/>
        </w:rPr>
        <w:t>9. Δ/νση Φορολογίας Εισοδήματος (Δ12) - Τμήματα Α’ (3), Β’ (10), Γ’ (3)</w:t>
      </w:r>
    </w:p>
    <w:p>
      <w:pPr>
        <w:spacing w:before="240" w:after="240"/>
        <w:rPr>
          <w:lang w:val="el" w:eastAsia="el"/>
        </w:rPr>
      </w:pPr>
      <w:r>
        <w:rPr>
          <w:b/>
          <w:bCs/>
          <w:lang w:val="el" w:eastAsia="el"/>
        </w:rPr>
        <w:t>10. Δ/νση Ελέγχων– Τμήματα Α΄( 3), Β΄(3), Γ’ (10)</w:t>
      </w:r>
    </w:p>
    <w:p>
      <w:pPr>
        <w:spacing w:before="240" w:after="240"/>
        <w:rPr>
          <w:lang w:val="el" w:eastAsia="el"/>
        </w:rPr>
      </w:pPr>
      <w:r>
        <w:rPr>
          <w:b/>
          <w:bCs/>
          <w:lang w:val="el" w:eastAsia="el"/>
        </w:rPr>
        <w:t>11. Γραφείο κ. Διευθυντή Φορολογίας Εισοδήματος</w:t>
      </w:r>
    </w:p>
    <w:p>
      <w:pPr>
        <w:spacing w:before="240" w:after="240"/>
        <w:rPr>
          <w:lang w:val="el" w:eastAsia="el"/>
        </w:rPr>
      </w:pPr>
      <w:r>
        <w:rPr>
          <w:b/>
          <w:bCs/>
          <w:lang w:val="el" w:eastAsia="el"/>
        </w:rPr>
        <w:t>12. Γραφείο κ. Διευθύντριας Ελέγχων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