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115/4Α</w:t>
      </w:r>
    </w:p>
    <w:p>
      <w:pPr>
        <w:pStyle w:val="PreambelText"/>
        <w:spacing w:before="240" w:after="240"/>
        <w:rPr>
          <w:lang w:val="el" w:eastAsia="el"/>
        </w:rPr>
      </w:pPr>
      <w:r>
        <w:rPr>
          <w:lang w:val="el" w:eastAsia="el"/>
        </w:rPr>
        <w:t>Τροποποίηση και κωδικοποίηση της με αριθμό 107/5/30.05.2014 (Β 1637) απόφασης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w:t>
      </w:r>
    </w:p>
    <w:p>
      <w:pPr>
        <w:pStyle w:val="PreambelText"/>
        <w:spacing w:before="240" w:after="240"/>
        <w:rPr>
          <w:lang w:val="el" w:eastAsia="el"/>
        </w:rPr>
      </w:pP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 3229/2004 (Α’ 38) και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και τις διατάξεις των άρθρων 34 και 35 του ν. 4223/2013 (Α’ 287), τις διατάξεις του άρθρου 22 του ν. 4255/2014 (Α’ 89) και τις διατάξεις του άρθρου 173 του ν. 4261/2014 (Α’ 107), και συμπληρωματικά τις διατάξεις του ν. 3051/2002 (Α’ 220) όπως ισχύει και ιδίως τη διάταξη της παραγράφου 5 του άρθρου 54 του ν. 4002/2011 (Α 180) όπως ισχύει,</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3 του άρθρου 29 του ν. 4002/2011, όπως ισχύει.</w:t>
      </w:r>
    </w:p>
    <w:p>
      <w:pPr>
        <w:pStyle w:val="StructureList1"/>
        <w:spacing w:before="120" w:after="0"/>
        <w:rPr>
          <w:lang w:val="el" w:eastAsia="el"/>
        </w:rPr>
      </w:pPr>
      <w:r>
        <w:rPr>
          <w:lang w:val="el" w:eastAsia="el"/>
        </w:rPr>
        <w:t>γ)</w:t>
      </w:r>
      <w:r>
        <w:rPr>
          <w:lang w:val="en" w:eastAsia="en"/>
        </w:rPr>
        <w:tab/>
      </w:r>
      <w:r>
        <w:rPr>
          <w:lang w:val="el" w:eastAsia="el"/>
        </w:rPr>
        <w:t>τη με αριθμό 55906/1673/20.12.2011 (Υ.Ο.Δ.Δ. 444) απόφαση του Υπουργού Οικονομικών, με τίτλο «Συγκρότηση της Επιτροπής Εποπτείας και Ελέγχου Παιγνίων (Ε.Ε.Ε.Π.)», όπως τροποποιήθηκε με τις με αριθμό 07/590/13.09.2013 (Υ.Ο.Δ.Δ. 451), και ΓΔΟΠ 0000031 ΕΞ 2014 (Υ.Ο.Δ.Δ. 24) αποφάσεις του Υπουργού Οικονομικών και με τις οποίες ανανεώθηκε η σύνθεση των μελών της Ε.Ε.Ε.Π.,</w:t>
      </w:r>
    </w:p>
    <w:p>
      <w:pPr>
        <w:pStyle w:val="StructureList1"/>
        <w:spacing w:before="120" w:after="0"/>
        <w:rPr>
          <w:lang w:val="el" w:eastAsia="el"/>
        </w:rPr>
      </w:pPr>
      <w:r>
        <w:rPr>
          <w:lang w:val="el" w:eastAsia="el"/>
        </w:rPr>
        <w:t>δ)</w:t>
      </w:r>
      <w:r>
        <w:rPr>
          <w:lang w:val="en" w:eastAsia="en"/>
        </w:rPr>
        <w:tab/>
      </w:r>
      <w:r>
        <w:rPr>
          <w:lang w:val="el" w:eastAsia="el"/>
        </w:rPr>
        <w:t>τη με αριθμό 56660/1679/22.12.2011 (Β 2910) κοινή απόφαση των Υπουργών Οικονομικών – Πολιτισμού και Τουρισμού, με τίτλο «Πιστοποίηση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ε)</w:t>
      </w:r>
      <w:r>
        <w:rPr>
          <w:lang w:val="en" w:eastAsia="en"/>
        </w:rPr>
        <w:tab/>
      </w:r>
      <w:r>
        <w:rPr>
          <w:lang w:val="el" w:eastAsia="el"/>
        </w:rPr>
        <w:t>τις με αριθμό 6/1/24.4.2012 (Β 1347) και 10/3/11.6.2012 (Β 2066) αποφάσεις της Ε.Ε.Ε.Π., με τις οποίες εγκρίθηκαν, αντίστοιχα, ο Κανονισμός Οικονομικής Διαχείρισης και ο Κανονισμός Εσωτερικής Λειτουργίας της Ε.Ε.Ε.Π., όπως ισχύουν,</w:t>
      </w:r>
    </w:p>
    <w:p>
      <w:pPr>
        <w:pStyle w:val="StructureList1"/>
        <w:spacing w:before="120" w:after="0"/>
        <w:rPr>
          <w:lang w:val="el" w:eastAsia="el"/>
        </w:rPr>
      </w:pPr>
      <w:r>
        <w:rPr>
          <w:lang w:val="el" w:eastAsia="el"/>
        </w:rPr>
        <w:t>στ)</w:t>
      </w:r>
      <w:r>
        <w:rPr>
          <w:lang w:val="en" w:eastAsia="en"/>
        </w:rPr>
        <w:tab/>
      </w:r>
      <w:r>
        <w:rPr>
          <w:lang w:val="el" w:eastAsia="el"/>
        </w:rPr>
        <w:t xml:space="preserve">τη με αριθμό 90/2/13.1.2014 (Β 190) απόφαση της Ε.Ε.Ε.Π., με την οποία τροποποιήθηκε και κωδικοποιήθηκε η με αριθμό 64/3/23.7.2013 (Β 1819) απόφαση της </w:t>
      </w:r>
    </w:p>
    <w:p>
      <w:pPr>
        <w:pStyle w:val="PreambelText"/>
        <w:spacing w:before="240" w:after="240"/>
        <w:rPr>
          <w:lang w:val="el" w:eastAsia="el"/>
        </w:rPr>
      </w:pPr>
      <w:r>
        <w:rPr>
          <w:lang w:val="el" w:eastAsia="el"/>
        </w:rPr>
        <w:t>Ε.Ε.Ε.Π. με τίτλο «Κανονισμός Οργάνωσης, Λειτουργίας και Διάρθρωσης Υπηρεσιακών Μονάδων της Επιτροπής Εποπτείας και Ελέγχου Παιγνίων», όπως ισχύει,</w:t>
      </w:r>
    </w:p>
    <w:p>
      <w:pPr>
        <w:pStyle w:val="StructureList1"/>
        <w:spacing w:before="120" w:after="0"/>
        <w:rPr>
          <w:lang w:val="el" w:eastAsia="el"/>
        </w:rPr>
      </w:pPr>
      <w:r>
        <w:rPr>
          <w:lang w:val="el" w:eastAsia="el"/>
        </w:rPr>
        <w:t>ζ)</w:t>
      </w:r>
      <w:r>
        <w:rPr>
          <w:lang w:val="en" w:eastAsia="en"/>
        </w:rPr>
        <w:tab/>
      </w:r>
      <w:r>
        <w:rPr>
          <w:lang w:val="el" w:eastAsia="el"/>
        </w:rPr>
        <w:t>τη με αριθμό 52115/1009/3.12.2012 (Β 3324) απόφαση του Υπουργού Οικονομικών, με τίτλο «Καθορισμός τελών και παραβόλων για τη διεξαγωγή τεχνικών - ψυχαγωγικών παιγνίων με παιγνιομηχανήματα»,</w:t>
      </w:r>
    </w:p>
    <w:p>
      <w:pPr>
        <w:pStyle w:val="StructureList1"/>
        <w:spacing w:before="120" w:after="0"/>
        <w:rPr>
          <w:lang w:val="el" w:eastAsia="el"/>
        </w:rPr>
      </w:pPr>
      <w:r>
        <w:rPr>
          <w:lang w:val="el" w:eastAsia="el"/>
        </w:rPr>
        <w:t>η)</w:t>
      </w:r>
      <w:r>
        <w:rPr>
          <w:lang w:val="en" w:eastAsia="en"/>
        </w:rPr>
        <w:tab/>
      </w:r>
      <w:r>
        <w:rPr>
          <w:lang w:val="el" w:eastAsia="el"/>
        </w:rPr>
        <w:t>τη με αριθμό 107/5/30.05.2014 (Β 1637) απόφαση της Ε.Ε.Ε.Π. με τίτλο: «Ρύθμιση θεμάτων Πιστοποίησης Τεχνικών Ηλεκτρονικών Τεχνικών - Ψυχαγωγικών Παιγνίων και Παιγνιομηχανημάτων και Τεχνικών Τυχερών Παιγνίων και Παιγνιομηχανημάτων τύπου VLT, και κατάρτισης των σχετικών Μητρώων».</w:t>
      </w:r>
    </w:p>
    <w:p>
      <w:pPr>
        <w:pStyle w:val="StructureList1"/>
        <w:spacing w:before="120" w:after="0"/>
        <w:rPr>
          <w:lang w:val="el" w:eastAsia="el"/>
        </w:rPr>
      </w:pPr>
      <w:r>
        <w:rPr>
          <w:lang w:val="el" w:eastAsia="el"/>
        </w:rPr>
        <w:t>θ)</w:t>
      </w:r>
      <w:r>
        <w:rPr>
          <w:lang w:val="en" w:eastAsia="en"/>
        </w:rPr>
        <w:tab/>
      </w:r>
      <w:r>
        <w:rPr>
          <w:lang w:val="el" w:eastAsia="el"/>
        </w:rPr>
        <w:t>το γεγονός ότι από την απόφαση αυτή δεν προκαλείται δαπάνη σε βάρος του προϋπολογισμού της Ε.Ε.Ε.Π., ι) την από 9/7/2014 εισήγηση του Προέδρου της Ε.Ε.Ε.Π. ια) την συζήτηση που ακολούθησε, αποφασίζουμε:</w:t>
      </w:r>
    </w:p>
    <w:p>
      <w:pPr>
        <w:pStyle w:val="PreambelText"/>
        <w:spacing w:before="240" w:after="240"/>
        <w:rPr>
          <w:lang w:val="el" w:eastAsia="el"/>
        </w:rPr>
      </w:pPr>
      <w:r>
        <w:rPr>
          <w:lang w:val="el" w:eastAsia="el"/>
        </w:rPr>
        <w:t>Την τροποποίηση της με αριθμό 107/5/30.05.2014 (Β’ 1637) απόφασης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και την κωδικοποίηση αυτής σε ενιαίο κείμενο, ως εξής:</w:t>
      </w:r>
    </w:p>
    <w:p>
      <w:pPr>
        <w:pStyle w:val="PreambelText"/>
        <w:spacing w:before="240" w:after="240"/>
        <w:rPr>
          <w:lang w:val="el" w:eastAsia="el"/>
        </w:rPr>
      </w:pPr>
      <w:r>
        <w:rPr>
          <w:lang w:val="el" w:eastAsia="el"/>
        </w:rPr>
        <w:t>[Τροποποίηση και κωδικοποίηση της με αριθμό 107/5/30.05.2014 (Β 1637) απόφασης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ΜΟΝΟ</w:t>
      </w:r>
    </w:p>
    <w:p>
      <w:pPr>
        <w:pStyle w:val="MainText"/>
        <w:spacing w:before="120" w:after="0"/>
        <w:rPr>
          <w:lang w:val="el" w:eastAsia="el"/>
        </w:rPr>
      </w:pPr>
      <w:r>
        <w:rPr>
          <w:b/>
          <w:bCs/>
          <w:lang w:val="el" w:eastAsia="el"/>
        </w:rPr>
        <w:t>1.</w:t>
      </w:r>
      <w:r>
        <w:rPr>
          <w:lang w:val="el" w:eastAsia="el"/>
        </w:rPr>
        <w:t xml:space="preserve"> Οι τεχνικοί πιστοποιούνται, με αίτησή τους, για τις παρακάτω ειδικότητες:</w:t>
      </w:r>
    </w:p>
    <w:p>
      <w:pPr>
        <w:pStyle w:val="MainText"/>
        <w:spacing w:before="120" w:after="0"/>
        <w:rPr>
          <w:lang w:val="el" w:eastAsia="el"/>
        </w:rPr>
      </w:pPr>
      <w:r>
        <w:rPr>
          <w:b/>
          <w:bCs/>
          <w:lang w:val="el" w:eastAsia="el"/>
        </w:rPr>
        <w:t>1.1</w:t>
      </w:r>
      <w:r>
        <w:rPr>
          <w:lang w:val="el" w:eastAsia="el"/>
        </w:rPr>
        <w:t xml:space="preserve"> Τεχνικοί ηλεκτρονικών τεχνικών-ψυχαγωγικών παιγνίων (κωδικός Α1)</w:t>
      </w:r>
    </w:p>
    <w:p>
      <w:pPr>
        <w:pStyle w:val="MainText"/>
        <w:spacing w:before="120" w:after="0"/>
        <w:rPr>
          <w:lang w:val="el" w:eastAsia="el"/>
        </w:rPr>
      </w:pPr>
      <w:r>
        <w:rPr>
          <w:b/>
          <w:bCs/>
          <w:lang w:val="el" w:eastAsia="el"/>
        </w:rPr>
        <w:t>1.2</w:t>
      </w:r>
      <w:r>
        <w:rPr>
          <w:lang w:val="el" w:eastAsia="el"/>
        </w:rPr>
        <w:t xml:space="preserve"> Τεχνικοί παιγνιομηχανημάτων ηλεκτρονικών τεχνικών-ψυχαγωγικών παιγνίων (κωδικός Α2).</w:t>
      </w:r>
    </w:p>
    <w:p>
      <w:pPr>
        <w:pStyle w:val="MainText"/>
        <w:spacing w:before="120" w:after="0"/>
        <w:rPr>
          <w:lang w:val="el" w:eastAsia="el"/>
        </w:rPr>
      </w:pPr>
      <w:r>
        <w:rPr>
          <w:b/>
          <w:bCs/>
          <w:lang w:val="el" w:eastAsia="el"/>
        </w:rPr>
        <w:t>1.3</w:t>
      </w:r>
      <w:r>
        <w:rPr>
          <w:lang w:val="el" w:eastAsia="el"/>
        </w:rPr>
        <w:t xml:space="preserve"> Τεχνικοί τυχερών παιγνίων (κωδικός Β1).</w:t>
      </w:r>
    </w:p>
    <w:p>
      <w:pPr>
        <w:pStyle w:val="MainText"/>
        <w:spacing w:before="120" w:after="0"/>
        <w:rPr>
          <w:lang w:val="el" w:eastAsia="el"/>
        </w:rPr>
      </w:pPr>
      <w:r>
        <w:rPr>
          <w:b/>
          <w:bCs/>
          <w:lang w:val="el" w:eastAsia="el"/>
        </w:rPr>
        <w:t>1.4</w:t>
      </w:r>
      <w:r>
        <w:rPr>
          <w:lang w:val="el" w:eastAsia="el"/>
        </w:rPr>
        <w:t xml:space="preserve"> Τεχνικοί παιγνιομηχανημάτων, τύπου VLT, τυχερών παιγνίων (κωδικός Β2).</w:t>
      </w:r>
    </w:p>
    <w:p>
      <w:pPr>
        <w:pStyle w:val="MainText"/>
        <w:spacing w:before="120" w:after="0"/>
        <w:rPr>
          <w:lang w:val="el" w:eastAsia="el"/>
        </w:rPr>
      </w:pPr>
      <w:r>
        <w:rPr>
          <w:b/>
          <w:bCs/>
          <w:lang w:val="el" w:eastAsia="el"/>
        </w:rPr>
        <w:t>2.</w:t>
      </w:r>
      <w:r>
        <w:rPr>
          <w:lang w:val="el" w:eastAsia="el"/>
        </w:rPr>
        <w:t xml:space="preserve"> Ένας Τεχνικός μπορεί να πιστοποιηθεί για περισσότερες της μιας ή /και για το σύνολο των ειδικοτήτων της παραγράφου 1 του άρθρου αυτού, εφόσον πληροί τις αντίστοιχες προϋποθέσεις. Η αίτηση είναι ενιαία για τις ειδικότητες με κωδικούς Α1 και Α2 καθώς και για τις ειδικότητες με κωδικούς Β1 και Β2.</w:t>
      </w:r>
    </w:p>
    <w:p>
      <w:pPr>
        <w:pStyle w:val="MainText"/>
        <w:spacing w:before="120" w:after="0"/>
        <w:rPr>
          <w:lang w:val="el" w:eastAsia="el"/>
        </w:rPr>
      </w:pPr>
      <w:r>
        <w:rPr>
          <w:b/>
          <w:bCs/>
          <w:lang w:val="el" w:eastAsia="el"/>
        </w:rPr>
        <w:t>3.</w:t>
      </w:r>
      <w:r>
        <w:rPr>
          <w:lang w:val="el" w:eastAsia="el"/>
        </w:rPr>
        <w:t xml:space="preserve"> Κάθε τεχνικός, προκειμένου να προβαίνει στην εγκατάσταση, επισκευή, αναβάθμιση, συντήρηση και γενικά επέμβαση σε οποιοδήποτε πιστοποιημένο παίγνιο ή παιγνιομηχάνημα, υποχρεούται να έχει λάβει πιστοποίηση τεχνικού της αντίστοιχης ειδικότητας από την Ε.Ε.Ε.Π..</w:t>
      </w:r>
    </w:p>
    <w:p>
      <w:pPr>
        <w:pStyle w:val="MainText"/>
        <w:spacing w:before="120" w:after="0"/>
        <w:rPr>
          <w:lang w:val="el" w:eastAsia="el"/>
        </w:rPr>
      </w:pPr>
      <w:r>
        <w:rPr>
          <w:b/>
          <w:bCs/>
          <w:lang w:val="el" w:eastAsia="el"/>
        </w:rPr>
        <w:t>4.</w:t>
      </w:r>
      <w:r>
        <w:rPr>
          <w:lang w:val="el" w:eastAsia="el"/>
        </w:rPr>
        <w:t xml:space="preserve"> Ένα πρόσωπο για να λάβει πιστοποίηση τεχνικού, πρέπει να πληροί τις παρακάτω προϋποθέσεις:</w:t>
      </w:r>
    </w:p>
    <w:p>
      <w:pPr>
        <w:pStyle w:val="MainText"/>
        <w:spacing w:before="120" w:after="0"/>
        <w:rPr>
          <w:lang w:val="el" w:eastAsia="el"/>
        </w:rPr>
      </w:pPr>
      <w:r>
        <w:rPr>
          <w:b/>
          <w:bCs/>
          <w:lang w:val="el" w:eastAsia="el"/>
        </w:rPr>
        <w:t>4.1</w:t>
      </w:r>
      <w:r>
        <w:rPr>
          <w:lang w:val="el" w:eastAsia="el"/>
        </w:rPr>
        <w:t xml:space="preserve"> Να μην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pStyle w:val="MainText"/>
        <w:spacing w:before="120" w:after="0"/>
        <w:rPr>
          <w:lang w:val="el" w:eastAsia="el"/>
        </w:rPr>
      </w:pPr>
      <w:r>
        <w:rPr>
          <w:b/>
          <w:bCs/>
          <w:lang w:val="el" w:eastAsia="el"/>
        </w:rPr>
        <w:t>4.2</w:t>
      </w:r>
      <w:r>
        <w:rPr>
          <w:lang w:val="el" w:eastAsia="el"/>
        </w:rPr>
        <w:t xml:space="preserve"> Να μην έχει καταδικαστεί τελεσίδικα για κακούργημα ή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4.3</w:t>
      </w:r>
      <w:r>
        <w:rPr>
          <w:lang w:val="el" w:eastAsia="el"/>
        </w:rPr>
        <w:t xml:space="preserve"> Να διαθέτει κατ’ ελάχιστον:</w:t>
      </w:r>
    </w:p>
    <w:p>
      <w:pPr>
        <w:pStyle w:val="StructureList1"/>
        <w:spacing w:before="120" w:after="0"/>
        <w:rPr>
          <w:lang w:val="el" w:eastAsia="el"/>
        </w:rPr>
      </w:pPr>
      <w:r>
        <w:rPr>
          <w:lang w:val="el" w:eastAsia="el"/>
        </w:rPr>
        <w:t>α)</w:t>
      </w:r>
      <w:r>
        <w:rPr>
          <w:lang w:val="en" w:eastAsia="en"/>
        </w:rPr>
        <w:tab/>
      </w:r>
      <w:r>
        <w:rPr>
          <w:lang w:val="el" w:eastAsia="el"/>
        </w:rPr>
        <w:t>αναγνωρισμένο πτυχίο τριτοβάθμιας εκπαίδευσης (ΑΕΙ, ΤΕΙ), ειδικότητας σχετικής με την πληροφορική, τα πληροφορικά συστήματα, την ηλεκτρολογία ή τα ηλεκτρονικά, ή</w:t>
      </w:r>
    </w:p>
    <w:p>
      <w:pPr>
        <w:pStyle w:val="StructureList1"/>
        <w:spacing w:before="120" w:after="0"/>
        <w:rPr>
          <w:lang w:val="el" w:eastAsia="el"/>
        </w:rPr>
      </w:pPr>
      <w:r>
        <w:rPr>
          <w:lang w:val="el" w:eastAsia="el"/>
        </w:rPr>
        <w:t>β)</w:t>
      </w:r>
      <w:r>
        <w:rPr>
          <w:lang w:val="en" w:eastAsia="en"/>
        </w:rPr>
        <w:tab/>
      </w:r>
      <w:r>
        <w:rPr>
          <w:lang w:val="el" w:eastAsia="el"/>
        </w:rPr>
        <w:t>αναγνωρισμένο πτυχίο μεταλυκειακής εκπαίδευσης, ειδικότητας σχετικής με την πληροφορική, τα πληροφορικά συστήματα, την ηλεκτρολογία ή τα ηλεκτρονικά και τουλάχιστον, τρία (3) έτη τεκμηριωμένης εργασιακής εμπειρίας στο αντικείμενο ή τριάντα (30) ώρες συναφούς επαγγελματικής κατάρτισης, ή</w:t>
      </w:r>
    </w:p>
    <w:p>
      <w:pPr>
        <w:pStyle w:val="StructureList1"/>
        <w:spacing w:before="120" w:after="0"/>
        <w:rPr>
          <w:lang w:val="el" w:eastAsia="el"/>
        </w:rPr>
      </w:pPr>
      <w:r>
        <w:rPr>
          <w:lang w:val="el" w:eastAsia="el"/>
        </w:rPr>
        <w:t>γ)</w:t>
      </w:r>
      <w:r>
        <w:rPr>
          <w:lang w:val="en" w:eastAsia="en"/>
        </w:rPr>
        <w:tab/>
      </w:r>
      <w:r>
        <w:rPr>
          <w:lang w:val="el" w:eastAsia="el"/>
        </w:rPr>
        <w:t>αναγνωρισμένο πτυχίο δευτεροβάθμιας επαγγελματικής εκπαίδευσης, ειδικότητας σχετικής με την πληροφορική, τα πληροφορικά συστήματα, την ηλεκτρολογία ή τα ηλεκτρονικά και τουλάχιστον, τρία (3) έτη τεκμηριωμένης εργασιακής εμπειρίας στο αντικείμενο ή τριάντα (30) ώρες συναφούς επαγγελματικής κατάρτισης, ή</w:t>
      </w:r>
    </w:p>
    <w:p>
      <w:pPr>
        <w:pStyle w:val="StructureList1"/>
        <w:spacing w:before="120" w:after="0"/>
        <w:rPr>
          <w:lang w:val="el" w:eastAsia="el"/>
        </w:rPr>
      </w:pPr>
      <w:r>
        <w:rPr>
          <w:lang w:val="el" w:eastAsia="el"/>
        </w:rPr>
        <w:t>δ)</w:t>
      </w:r>
      <w:r>
        <w:rPr>
          <w:lang w:val="en" w:eastAsia="en"/>
        </w:rPr>
        <w:tab/>
      </w:r>
      <w:r>
        <w:rPr>
          <w:lang w:val="el" w:eastAsia="el"/>
        </w:rPr>
        <w:t>απολυτήριο γενικού λυκείου και έξι (6) τουλάχιστον έτη τεκμηριωμένης εμπειρίας στο αντικείμενο ή εβδομήντα (70) ώρες συναφούς επαγγελματικής κατάρτισης.</w:t>
      </w:r>
    </w:p>
    <w:p>
      <w:pPr>
        <w:pStyle w:val="MainText"/>
        <w:spacing w:before="120" w:after="0"/>
        <w:rPr>
          <w:lang w:val="el" w:eastAsia="el"/>
        </w:rPr>
      </w:pPr>
      <w:r>
        <w:rPr>
          <w:b/>
          <w:bCs/>
          <w:lang w:val="el" w:eastAsia="el"/>
        </w:rPr>
        <w:t>4.4</w:t>
      </w:r>
      <w:r>
        <w:rPr>
          <w:lang w:val="el" w:eastAsia="el"/>
        </w:rPr>
        <w:t xml:space="preserve"> . Οι τομείς σπουδών καθώς και η εμπειρία και κατάρτιση που είναι σχετικές με την πληροφορική ή τα πληροφορικά συστήματα, αποτελούν προϋποθέσεις για την πιστοποίηση τεχνικού παιγνίων (ειδικότητες με κωδικούς Α1 και Β1). Οι τομείς σπουδών καθώς και η εμπειρία και κατάρτιση που είναι σχετικές με τα πληροφορικά συστήματα, τα ηλεκτρονικά και την ηλεκτρολογία, αποτελούν προϋποθέσεις για την πιστοποίηση τεχνικού παιγνιομηχανημάτων (ειδικότητες με κωδικούς Α2 και Β2).</w:t>
      </w:r>
    </w:p>
    <w:p>
      <w:pPr>
        <w:pStyle w:val="MainText"/>
        <w:spacing w:before="120" w:after="0"/>
        <w:rPr>
          <w:lang w:val="el" w:eastAsia="el"/>
        </w:rPr>
      </w:pPr>
      <w:r>
        <w:rPr>
          <w:b/>
          <w:bCs/>
          <w:lang w:val="el" w:eastAsia="el"/>
        </w:rPr>
        <w:t>5.</w:t>
      </w:r>
      <w:r>
        <w:rPr>
          <w:lang w:val="el" w:eastAsia="el"/>
        </w:rPr>
        <w:t xml:space="preserve"> Ο πιστοποιημένος τεχνικός δικαιούται να χρησιμοποιεί το λογότυπο της Ε.Ε.Ε.Π. στα εμπορικά του έντυπα και στην εμπορική του επικοινωνία, με τους όρους και τις προδιαγραφές που ορίζει η Αρχή.</w:t>
      </w:r>
    </w:p>
    <w:p>
      <w:pPr>
        <w:pStyle w:val="MainText"/>
        <w:spacing w:before="120" w:after="0"/>
        <w:rPr>
          <w:lang w:val="el" w:eastAsia="el"/>
        </w:rPr>
      </w:pPr>
      <w:r>
        <w:rPr>
          <w:b/>
          <w:bCs/>
          <w:lang w:val="el" w:eastAsia="el"/>
        </w:rPr>
        <w:t>6.</w:t>
      </w:r>
      <w:r>
        <w:rPr>
          <w:lang w:val="el" w:eastAsia="el"/>
        </w:rPr>
        <w:t xml:space="preserve"> Πιστοποίηση τεχνικού χορηγείται ύστερα από αίτηση στην Ε.Ε.Ε.Π., η οποία περιλαμβάνει τα στοιχεία του προσώπου που την υποβάλλει, καθώς και την ειδικότητα ή τις ειδικότητες, για τις οποίες θέλει να πιστοποιηθεί.</w:t>
      </w:r>
    </w:p>
    <w:p>
      <w:pPr>
        <w:spacing w:before="240" w:after="240"/>
        <w:rPr>
          <w:lang w:val="el" w:eastAsia="el"/>
        </w:rPr>
      </w:pPr>
      <w:r>
        <w:rPr>
          <w:lang w:val="el" w:eastAsia="el"/>
        </w:rPr>
        <w:t>Η αίτηση συνοδεύεται από:</w:t>
      </w:r>
    </w:p>
    <w:p>
      <w:pPr>
        <w:pStyle w:val="MainText"/>
        <w:spacing w:before="120" w:after="0"/>
        <w:rPr>
          <w:lang w:val="el" w:eastAsia="el"/>
        </w:rPr>
      </w:pPr>
      <w:r>
        <w:rPr>
          <w:b/>
          <w:bCs/>
          <w:lang w:val="el" w:eastAsia="el"/>
        </w:rPr>
        <w:t>6.1</w:t>
      </w:r>
      <w:r>
        <w:rPr>
          <w:lang w:val="el" w:eastAsia="el"/>
        </w:rPr>
        <w:t xml:space="preserve"> Υπεύθυνη δήλωση του αιτούντος την πιστοποίηση, θεωρημένη για το γνήσιο της υπογραφής του, με την οποία δηλώνεται ότι:</w:t>
      </w:r>
    </w:p>
    <w:p>
      <w:pPr>
        <w:pStyle w:val="StructureList1"/>
        <w:spacing w:before="120" w:after="0"/>
        <w:rPr>
          <w:lang w:val="el" w:eastAsia="el"/>
        </w:rPr>
      </w:pPr>
      <w:r>
        <w:rPr>
          <w:lang w:val="el" w:eastAsia="el"/>
        </w:rPr>
        <w:t>α)</w:t>
      </w:r>
      <w:r>
        <w:rPr>
          <w:lang w:val="en" w:eastAsia="en"/>
        </w:rPr>
        <w:tab/>
      </w:r>
      <w:r>
        <w:rPr>
          <w:lang w:val="el" w:eastAsia="el"/>
        </w:rPr>
        <w:t>όλα τα στοιχεία που περιλαμβάνονται στην αίτηση, καθώς και εκείνα που τη συνοδεύουν, είναι αληθή,</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γ)</w:t>
      </w:r>
      <w:r>
        <w:rPr>
          <w:lang w:val="en" w:eastAsia="en"/>
        </w:rPr>
        <w:tab/>
      </w:r>
      <w:r>
        <w:rPr>
          <w:lang w:val="el" w:eastAsia="el"/>
        </w:rPr>
        <w:t>δεν έχει καταδικαστεί τελεσίδικα για κακούργημα ή σε οποιαδήποτε ποινή για έγκλημα που προβλέπεται στο ισχύον νομοθετικό και κανονιστικό πλαίσιο περί παιγνίων.</w:t>
      </w:r>
    </w:p>
    <w:p>
      <w:pPr>
        <w:pStyle w:val="StructureList1"/>
        <w:spacing w:before="120" w:after="0"/>
        <w:rPr>
          <w:lang w:val="el" w:eastAsia="el"/>
        </w:rPr>
      </w:pPr>
      <w:r>
        <w:rPr>
          <w:lang w:val="el" w:eastAsia="el"/>
        </w:rPr>
        <w:t>δ)</w:t>
      </w:r>
      <w:r>
        <w:rPr>
          <w:lang w:val="en" w:eastAsia="en"/>
        </w:rPr>
        <w:tab/>
      </w:r>
      <w:r>
        <w:rPr>
          <w:lang w:val="el" w:eastAsia="el"/>
        </w:rPr>
        <w:t>την ειδικότητα, στην οποία ο αιτών θέλει να πιστοποιηθεί.</w:t>
      </w:r>
    </w:p>
    <w:p>
      <w:pPr>
        <w:pStyle w:val="StructureList1"/>
        <w:spacing w:before="120" w:after="0"/>
        <w:rPr>
          <w:lang w:val="el" w:eastAsia="el"/>
        </w:rPr>
      </w:pPr>
      <w:r>
        <w:rPr>
          <w:lang w:val="el" w:eastAsia="el"/>
        </w:rPr>
        <w:t>ε)</w:t>
      </w:r>
      <w:r>
        <w:rPr>
          <w:lang w:val="en" w:eastAsia="en"/>
        </w:rPr>
        <w:tab/>
      </w:r>
      <w:r>
        <w:rPr>
          <w:lang w:val="el" w:eastAsia="el"/>
        </w:rPr>
        <w:t>ουδέποτε στο παρελθόν έχει απολέσει άδεια Τεχνικού ή πιστοποίηση Τεχνικού Παιγνίων ή Παιγνιομηχανημάτων σε οποιαδήποτε χώρα (ισχύει μόνο για τους κωδικούς Β1 και Β2).</w:t>
      </w:r>
    </w:p>
    <w:p>
      <w:pPr>
        <w:pStyle w:val="MainText"/>
        <w:spacing w:before="120" w:after="0"/>
        <w:rPr>
          <w:lang w:val="el" w:eastAsia="el"/>
        </w:rPr>
      </w:pPr>
      <w:r>
        <w:rPr>
          <w:b/>
          <w:bCs/>
          <w:lang w:val="el" w:eastAsia="el"/>
        </w:rPr>
        <w:t>6.2</w:t>
      </w:r>
      <w:r>
        <w:rPr>
          <w:lang w:val="el" w:eastAsia="el"/>
        </w:rPr>
        <w:t xml:space="preserve"> Σύντομο βιογραφικό σημείωμα και δύο (2) πρόσφατες έγχρωμες φωτογραφίες τύπου διαβατηρίου.</w:t>
      </w:r>
    </w:p>
    <w:p>
      <w:pPr>
        <w:pStyle w:val="MainText"/>
        <w:spacing w:before="120" w:after="0"/>
        <w:rPr>
          <w:lang w:val="el" w:eastAsia="el"/>
        </w:rPr>
      </w:pPr>
      <w:r>
        <w:rPr>
          <w:b/>
          <w:bCs/>
          <w:lang w:val="el" w:eastAsia="el"/>
        </w:rPr>
        <w:t>6.3</w:t>
      </w:r>
      <w:r>
        <w:rPr>
          <w:lang w:val="el" w:eastAsia="el"/>
        </w:rPr>
        <w:t xml:space="preserve"> Ευκρινή φωτοαντίγραφα, σύμφωνα με τα προβλεπόμενα στην παράγραφο 2 του άρθρου 11 του Ν. 2690/1995 (Α’/45), όπως αντικαταστάθηκε με την παράγραφο 2 του άρθρου 1 του Ν. 4250/2014 (Α’/74) και ισχύει: α) του δελτίου αστυνομικής ταυτότητας ή διαβατηρίου, β) των τίτλων σπουδών,</w:t>
      </w:r>
    </w:p>
    <w:p>
      <w:pPr>
        <w:pStyle w:val="StructureList1"/>
        <w:spacing w:before="120" w:after="0"/>
        <w:rPr>
          <w:lang w:val="el" w:eastAsia="el"/>
        </w:rPr>
      </w:pPr>
      <w:r>
        <w:rPr>
          <w:lang w:val="el" w:eastAsia="el"/>
        </w:rPr>
        <w:t>γ)</w:t>
      </w:r>
      <w:r>
        <w:rPr>
          <w:lang w:val="en" w:eastAsia="en"/>
        </w:rPr>
        <w:tab/>
      </w:r>
      <w:r>
        <w:rPr>
          <w:lang w:val="el" w:eastAsia="el"/>
        </w:rPr>
        <w:t>των στοιχείων τεκμηρίωσης της εργασιακής εμπειρίας, όπως ενδεικτικά: βεβαιώσεις έναρξης ή μεταβολής δραστηριότητας από την αρμόδια Δ.Ο.Υ., βεβαιώσεις ή/ και καταστάσεις ενσήμων, από τις οποίες να προκύπτει ο αριθμός των ενσήμων, το αντικείμενο δραστηριότητας του εργοδότη, κ.λπ.,</w:t>
      </w:r>
    </w:p>
    <w:p>
      <w:pPr>
        <w:pStyle w:val="StructureList1"/>
        <w:spacing w:before="120" w:after="0"/>
        <w:rPr>
          <w:lang w:val="el" w:eastAsia="el"/>
        </w:rPr>
      </w:pPr>
      <w:r>
        <w:rPr>
          <w:lang w:val="el" w:eastAsia="el"/>
        </w:rPr>
        <w:t>δ)</w:t>
      </w:r>
      <w:r>
        <w:rPr>
          <w:lang w:val="en" w:eastAsia="en"/>
        </w:rPr>
        <w:tab/>
      </w:r>
      <w:r>
        <w:rPr>
          <w:lang w:val="el" w:eastAsia="el"/>
        </w:rPr>
        <w:t>των βεβαιώσεων παρακολούθησης προγραμμάτων επαγγελματικής κατάρτισης.</w:t>
      </w:r>
    </w:p>
    <w:p>
      <w:pPr>
        <w:pStyle w:val="MainText"/>
        <w:spacing w:before="120" w:after="0"/>
        <w:rPr>
          <w:lang w:val="el" w:eastAsia="el"/>
        </w:rPr>
      </w:pPr>
      <w:r>
        <w:rPr>
          <w:b/>
          <w:bCs/>
          <w:lang w:val="el" w:eastAsia="el"/>
        </w:rPr>
        <w:t>6.4</w:t>
      </w:r>
      <w:r>
        <w:rPr>
          <w:lang w:val="el" w:eastAsia="el"/>
        </w:rPr>
        <w:t xml:space="preserve"> Αποδεικτικό καταβολής του προβλεπόμενου παραβόλου.</w:t>
      </w:r>
    </w:p>
    <w:p>
      <w:pPr>
        <w:pStyle w:val="MainText"/>
        <w:spacing w:before="120" w:after="0"/>
        <w:rPr>
          <w:lang w:val="el" w:eastAsia="el"/>
        </w:rPr>
      </w:pPr>
      <w:r>
        <w:rPr>
          <w:b/>
          <w:bCs/>
          <w:lang w:val="el" w:eastAsia="el"/>
        </w:rPr>
        <w:t>6.5</w:t>
      </w:r>
      <w:r>
        <w:rPr>
          <w:lang w:val="el" w:eastAsia="el"/>
        </w:rPr>
        <w:t xml:space="preserve"> Η Ε.Ε.Ε.Π. εκδίδει την απόφαση πιστοποίησης, εγγράφει τον πιστοποιημένο τεχνικό στο αντίστοιχο Μητρώο και χορηγεί βεβαίωση εγγραφής. Η εγγραφή στο Μητρώο πιστοποιημένων τεχνικών ανανεώνεται κάθε χρόνο με την εκ νέου υποβολή υπεύθυνης δήλωσης σύμφωνα με την παράγραφο 6.1, περιπτώσεις (β) και (γ) και την καταβολή του ετήσιου τέλους διατήρησης εγγραφής της παραγράφου 6.7.3.</w:t>
      </w:r>
    </w:p>
    <w:p>
      <w:pPr>
        <w:pStyle w:val="MainText"/>
        <w:spacing w:before="120" w:after="0"/>
        <w:rPr>
          <w:lang w:val="el" w:eastAsia="el"/>
        </w:rPr>
      </w:pPr>
      <w:r>
        <w:rPr>
          <w:b/>
          <w:bCs/>
          <w:lang w:val="el" w:eastAsia="el"/>
        </w:rPr>
        <w:t>6.6</w:t>
      </w:r>
      <w:r>
        <w:rPr>
          <w:lang w:val="el" w:eastAsia="el"/>
        </w:rPr>
        <w:t xml:space="preserve"> Στο Μητρώο πιστοποιημένων τεχνικών μπορούν να εγγραφούν και νομικά πρόσωπα. Στην περίπτωση αυτή, θα πρέπει ένας τουλάχιστον από τους εταίρους στην περίπτωση προσωπικής εταιρείας ή μέλος της διοίκησης ή διαχειριστής στην περίπτωση των μη προσωπικών εταιρειών ή ένα τουλάχιστον μέλος του προσωπικού της, να είναι πιστοποιημένος τεχνικός. Η σχετική αίτηση υποβάλλεται από το νομικό πρόσωπο και περιλαμβάνει τα εξής δικαιολογητικά:</w:t>
      </w:r>
    </w:p>
    <w:p>
      <w:pPr>
        <w:pStyle w:val="MainText"/>
        <w:spacing w:before="120" w:after="0"/>
        <w:rPr>
          <w:lang w:val="el" w:eastAsia="el"/>
        </w:rPr>
      </w:pPr>
      <w:r>
        <w:rPr>
          <w:b/>
          <w:bCs/>
          <w:lang w:val="el" w:eastAsia="el"/>
        </w:rPr>
        <w:t>6.6.1.</w:t>
      </w:r>
      <w:r>
        <w:rPr>
          <w:lang w:val="el" w:eastAsia="el"/>
        </w:rPr>
        <w:t xml:space="preserve"> Υπεύθυνη δήλωση του αιτούντος την πιστοποίηση ή του νόμιμου εκπροσώπου του, θεωρημένη για το γνήσιο της υπογραφής του, με την οποία δηλώνεται:</w:t>
      </w:r>
    </w:p>
    <w:p>
      <w:pPr>
        <w:pStyle w:val="StructureList1"/>
        <w:spacing w:before="120" w:after="0"/>
        <w:rPr>
          <w:lang w:val="el" w:eastAsia="el"/>
        </w:rPr>
      </w:pPr>
      <w:r>
        <w:rPr>
          <w:lang w:val="el" w:eastAsia="el"/>
        </w:rPr>
        <w:t>α)</w:t>
      </w:r>
      <w:r>
        <w:rPr>
          <w:lang w:val="en" w:eastAsia="en"/>
        </w:rPr>
        <w:tab/>
      </w:r>
      <w:r>
        <w:rPr>
          <w:lang w:val="el" w:eastAsia="el"/>
        </w:rPr>
        <w:t>ότι τα στοιχεία που περιλαμβάνονται στην αίτηση, καθώς και εκείνα που τη συνοδεύουν είναι αληθή και ότι η υπεύθυνη δήλωση της παραγράφου 6.6.2 υποβάλλεται από όλους τους υπόχρεους.</w:t>
      </w:r>
    </w:p>
    <w:p>
      <w:pPr>
        <w:pStyle w:val="StructureList1"/>
        <w:spacing w:before="120" w:after="0"/>
        <w:rPr>
          <w:lang w:val="el" w:eastAsia="el"/>
        </w:rPr>
      </w:pPr>
      <w:r>
        <w:rPr>
          <w:lang w:val="el" w:eastAsia="el"/>
        </w:rPr>
        <w:t>β)</w:t>
      </w:r>
      <w:r>
        <w:rPr>
          <w:lang w:val="en" w:eastAsia="en"/>
        </w:rPr>
        <w:tab/>
      </w:r>
      <w:r>
        <w:rPr>
          <w:lang w:val="el" w:eastAsia="el"/>
        </w:rPr>
        <w:t>ο αριθμός Πιστοποίησης του Πιστοποιημένου Τεχνικού, τα στοιχεία του καθώς και η περιγραφή της σχέσης του με το νομικό πρόσωπο.</w:t>
      </w:r>
    </w:p>
    <w:p>
      <w:pPr>
        <w:pStyle w:val="MainText"/>
        <w:spacing w:before="120" w:after="0"/>
        <w:rPr>
          <w:lang w:val="el" w:eastAsia="el"/>
        </w:rPr>
      </w:pPr>
      <w:r>
        <w:rPr>
          <w:b/>
          <w:bCs/>
          <w:lang w:val="el" w:eastAsia="el"/>
        </w:rPr>
        <w:t>6.6.2.</w:t>
      </w:r>
      <w:r>
        <w:rPr>
          <w:lang w:val="el" w:eastAsia="el"/>
        </w:rPr>
        <w:t xml:space="preserve"> Υπεύθυνη δήλωση όλων των φυσικών προσώπων που ασκούν τη διοίκηση, τη διαχείριση ή την εκπροσώπηση του αιτούντος την Άδεια, θεωρημένη για το γνήσιο της υπογραφής τους, με την οποία δηλώνεται ότι το καθένα από αυτά τα πρόσωπα: α) 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καταδικαστεί τελεσίδικα για κακούργημα ή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6.6.3.</w:t>
      </w:r>
      <w:r>
        <w:rPr>
          <w:lang w:val="el" w:eastAsia="el"/>
        </w:rPr>
        <w:t xml:space="preserve"> Ευκρινή φωτοαντίγραφα, σύμφωνα με τα προβλεπόμενα στην παράγραφο 2 του άρθρου 11 του ν. 2690/1999 (Α 45), όπως αντικαταστάθηκε με την παράγραφο 2 του άρθρου 1 του ν. 4250/2014 (Α 74) και ισχύει:</w:t>
      </w:r>
    </w:p>
    <w:p>
      <w:pPr>
        <w:pStyle w:val="StructureList1"/>
        <w:spacing w:before="120" w:after="0"/>
        <w:rPr>
          <w:lang w:val="el" w:eastAsia="el"/>
        </w:rPr>
      </w:pPr>
      <w:r>
        <w:rPr>
          <w:lang w:val="el" w:eastAsia="el"/>
        </w:rPr>
        <w:t>α)</w:t>
      </w:r>
      <w:r>
        <w:rPr>
          <w:lang w:val="en" w:eastAsia="en"/>
        </w:rPr>
        <w:tab/>
      </w:r>
      <w:r>
        <w:rPr>
          <w:lang w:val="el" w:eastAsia="el"/>
        </w:rPr>
        <w:t>της βεβαίωσης έναρξης ή τροποποίησης δραστηριότητας της αρμόδιας Δ.Ο.Υ., από την οποία να προκύπτει ως αντικείμενο, η παροχή υπηρεσιών τεχνικής υποστήριξης παιγνίων και παιγνιομηχανημάτων,</w:t>
      </w:r>
    </w:p>
    <w:p>
      <w:pPr>
        <w:pStyle w:val="StructureList1"/>
        <w:spacing w:before="120" w:after="0"/>
        <w:rPr>
          <w:lang w:val="el" w:eastAsia="el"/>
        </w:rPr>
      </w:pPr>
      <w:r>
        <w:rPr>
          <w:lang w:val="el" w:eastAsia="el"/>
        </w:rPr>
        <w:t>β)</w:t>
      </w:r>
      <w:r>
        <w:rPr>
          <w:lang w:val="en" w:eastAsia="en"/>
        </w:rPr>
        <w:tab/>
      </w:r>
      <w:r>
        <w:rPr>
          <w:lang w:val="el" w:eastAsia="el"/>
        </w:rPr>
        <w:t>των εγγράφων, από τα οποία προκύπτουν τα φυσικά πρόσωπα που το εκπροσωπούν νόμιμα.</w:t>
      </w:r>
    </w:p>
    <w:p>
      <w:pPr>
        <w:pStyle w:val="MainText"/>
        <w:spacing w:before="120" w:after="0"/>
        <w:rPr>
          <w:lang w:val="el" w:eastAsia="el"/>
        </w:rPr>
      </w:pPr>
      <w:r>
        <w:rPr>
          <w:b/>
          <w:bCs/>
          <w:lang w:val="el" w:eastAsia="el"/>
        </w:rPr>
        <w:t>6.6.4.</w:t>
      </w:r>
      <w:r>
        <w:rPr>
          <w:lang w:val="el" w:eastAsia="el"/>
        </w:rPr>
        <w:t xml:space="preserve"> Αποδεικτικό καταβολής του προβλεπόμενου παραβόλου.</w:t>
      </w:r>
    </w:p>
    <w:p>
      <w:pPr>
        <w:pStyle w:val="MainText"/>
        <w:spacing w:before="120" w:after="0"/>
        <w:rPr>
          <w:lang w:val="el" w:eastAsia="el"/>
        </w:rPr>
      </w:pPr>
      <w:r>
        <w:rPr>
          <w:b/>
          <w:bCs/>
          <w:lang w:val="el" w:eastAsia="el"/>
        </w:rPr>
        <w:t>6.6.5.</w:t>
      </w:r>
      <w:r>
        <w:rPr>
          <w:lang w:val="el" w:eastAsia="el"/>
        </w:rPr>
        <w:t xml:space="preserve"> Στην περίπτωση που ο αιτών την πιστοποίηση έχει έδρα στην αλλοδαπή, προσκομίζονται ισοδύναμα έγγραφα της αρμόδιας αρχής της χώρας εγκατάστασης, σε επίσημη μετάφραση στην ελληνική γλώσσα.</w:t>
      </w:r>
    </w:p>
    <w:p>
      <w:pPr>
        <w:pStyle w:val="MainText"/>
        <w:spacing w:before="120" w:after="0"/>
        <w:rPr>
          <w:lang w:val="el" w:eastAsia="el"/>
        </w:rPr>
      </w:pPr>
      <w:r>
        <w:rPr>
          <w:b/>
          <w:bCs/>
          <w:lang w:val="el" w:eastAsia="el"/>
        </w:rPr>
        <w:t>6.6.6.</w:t>
      </w:r>
      <w:r>
        <w:rPr>
          <w:lang w:val="el" w:eastAsia="el"/>
        </w:rPr>
        <w:t xml:space="preserve"> Τα νομικά πρόσωπα που είναι εγγεγραμμένα στο Μητρώο πιστοποιημένων τεχνικών ενημερώνουν την Ε.Ε.Ε.Π., αμέσως μόλις επέλθει μεταβολή στη σχέση τους με το φυσικό πρόσωπο ή τα φυσικά πρόσωπα της παραγράφου 6.6. Σε περίπτωση αποχώρησης από το νομικό πρόσωπο του πιστοποιημένου τεχνικού, το νομικό πρόσωπο υποχρεούται να επαναλάβει τη διαδικασία της παραγράφου 6.6 του άρθρου αυτού, υποδεικνύοντας άλλον προς πιστοποίηση τεχνικό, από τα οριζόμενα στη διάταξη αυτή φυσικά πρόσωπα, προκειμένου να διατηρήσει την εγγραφή του στο σχετικό Μητρώο.</w:t>
      </w:r>
    </w:p>
    <w:p>
      <w:pPr>
        <w:pStyle w:val="MainText"/>
        <w:spacing w:before="120" w:after="0"/>
        <w:rPr>
          <w:lang w:val="el" w:eastAsia="el"/>
        </w:rPr>
      </w:pPr>
      <w:r>
        <w:rPr>
          <w:b/>
          <w:bCs/>
          <w:lang w:val="el" w:eastAsia="el"/>
        </w:rPr>
        <w:t>6.7</w:t>
      </w:r>
      <w:r>
        <w:rPr>
          <w:lang w:val="el" w:eastAsia="el"/>
        </w:rPr>
        <w:t xml:space="preserve"> . Για την πιστοποίηση τεχνικού, την εγγραφή και τη διατήρηση της εγγραφής στο Μητρώο τεχνικών, καταβάλλονται:</w:t>
      </w:r>
    </w:p>
    <w:p>
      <w:pPr>
        <w:pStyle w:val="MainText"/>
        <w:spacing w:before="120" w:after="0"/>
        <w:rPr>
          <w:lang w:val="el" w:eastAsia="el"/>
        </w:rPr>
      </w:pPr>
      <w:r>
        <w:rPr>
          <w:b/>
          <w:bCs/>
          <w:lang w:val="el" w:eastAsia="el"/>
        </w:rPr>
        <w:t>6.7.1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6.7.2</w:t>
      </w:r>
      <w:r>
        <w:rPr>
          <w:lang w:val="el" w:eastAsia="el"/>
        </w:rPr>
        <w:t xml:space="preserve"> Προκαταβλητέο ετήσιο τέλος διατήρησης της εγγραφής στο Μητρώο. Το ετήσιο τέλος καταβάλλεται εντός τριών (3) εργασίμων ημερών από την επομένη της σχετικής ειδοποίησης της Ε.Ε.Ε.Π., με την οποία ο αιτών ενημερώνεται ότι η αίτησή του έχει, κατ’ αρχήν, ελεγχθεί </w:t>
      </w:r>
    </w:p>
    <w:p>
      <w:pPr>
        <w:spacing w:before="240" w:after="240"/>
        <w:rPr>
          <w:lang w:val="el" w:eastAsia="el"/>
        </w:rPr>
      </w:pPr>
      <w:r>
        <w:rPr>
          <w:lang w:val="el" w:eastAsia="el"/>
        </w:rPr>
        <w:t>και εγκριθεί. Μη εμπρόθεσμη καταβολή του ετήσιου τέλους συνεπάγεται μη χορήγηση της πιστοποίησης.</w:t>
      </w:r>
    </w:p>
    <w:p>
      <w:pPr>
        <w:pStyle w:val="MainText"/>
        <w:spacing w:before="120" w:after="0"/>
        <w:rPr>
          <w:lang w:val="el" w:eastAsia="el"/>
        </w:rPr>
      </w:pPr>
      <w:r>
        <w:rPr>
          <w:b/>
          <w:bCs/>
          <w:lang w:val="el" w:eastAsia="el"/>
        </w:rPr>
        <w:t>6.7.3</w:t>
      </w:r>
      <w:r>
        <w:rPr>
          <w:lang w:val="el" w:eastAsia="el"/>
        </w:rPr>
        <w:t xml:space="preserve"> Για τη διατήρηση της εγγραφής στο Μητρώο καταβάλλεται ετήσιο τέλος διατήρησης εγγραφής. Η καταβολή του ετήσιου τέλους πραγματοποιείται το αργότερο μέχρι την ημερομηνία λήξης ενός (1) έτους από την αρχική καταβολή του. Μη εμπρόθεσμη καταβολή του ετήσιου τέλους επιφέρει την αυτοδίκαιη ανάκληση της απόφασης πιστοποίησης.</w:t>
      </w:r>
    </w:p>
    <w:p>
      <w:pPr>
        <w:pStyle w:val="MainText"/>
        <w:spacing w:before="120" w:after="0"/>
        <w:rPr>
          <w:lang w:val="el" w:eastAsia="el"/>
        </w:rPr>
      </w:pPr>
      <w:r>
        <w:rPr>
          <w:b/>
          <w:bCs/>
          <w:lang w:val="el" w:eastAsia="el"/>
        </w:rPr>
        <w:t>6.8</w:t>
      </w:r>
      <w:r>
        <w:rPr>
          <w:lang w:val="el" w:eastAsia="el"/>
        </w:rPr>
        <w:t xml:space="preserve"> . Τα ποσά των παραβόλων και των τελών, που αναφέρονται στην παρούσα απόφαση, ορίζονται με οικείες κανονιστικές αποφάσεις που εκδίδονται σύμφωνα με της διατάξεις του ν. 4002/2012 (Α 180), όπως ισχύει.</w:t>
      </w:r>
    </w:p>
    <w:p>
      <w:pPr>
        <w:pStyle w:val="MainText"/>
        <w:spacing w:before="120" w:after="0"/>
        <w:rPr>
          <w:lang w:val="el" w:eastAsia="el"/>
        </w:rPr>
      </w:pPr>
      <w:r>
        <w:rPr>
          <w:b/>
          <w:bCs/>
          <w:lang w:val="el" w:eastAsia="el"/>
        </w:rPr>
        <w:t>6.9</w:t>
      </w:r>
      <w:r>
        <w:rPr>
          <w:lang w:val="el" w:eastAsia="el"/>
        </w:rPr>
        <w:t xml:space="preserve"> . Τα παράβολα και τα τέλη που αναφέρονται στην παρούσα απόφαση καταβάλλονται σε τραπεζικό λογαριασμό που τηρεί η Ε.Ε.Ε.Π. για το σκοπό αυτό. Η σχετική κατάθεση συνιστά είσπραξη του αντίστοιχου παραβόλου ή τέλους, που αποδεικνύεται με το τραπεζικό έγγραφο της κατάθεσης, στο οποίο ρητά αναφέρεται ως αιτιολογία το είδος του παραβόλου ή τέλους,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6.10</w:t>
      </w:r>
      <w:r>
        <w:rPr>
          <w:lang w:val="el" w:eastAsia="el"/>
        </w:rPr>
        <w:t xml:space="preserve"> . Τα προβλεπόμενα στην παρούσα απόφαση έγγραφα, διακινούνται καταρχήν σε έντυπη μορφή. Εναλλακτικά, για τις διαδικασίες πιστοποίησης τεχνικών, η Ε.Ε.Ε.Π. μπορεί να εφαρμόζει ηλεκτρονικό σύστημα διαχείρισης.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Ιουλίου 2014</w:t>
      </w:r>
    </w:p>
    <w:p>
      <w:pPr>
        <w:spacing w:before="240" w:after="240"/>
        <w:rPr>
          <w:lang w:val="el" w:eastAsia="el"/>
        </w:rPr>
      </w:pPr>
      <w:r>
        <w:rPr>
          <w:lang w:val="el" w:eastAsia="el"/>
        </w:rPr>
        <w:t xml:space="preserve">O </w:t>
      </w:r>
    </w:p>
    <w:p>
      <w:pPr>
        <w:spacing w:before="240" w:after="240"/>
        <w:rPr>
          <w:lang w:val="el" w:eastAsia="el"/>
        </w:rPr>
      </w:pPr>
      <w:r>
        <w:rPr>
          <w:lang w:val="el" w:eastAsia="el"/>
        </w:rPr>
        <w:t>ΠρόεδροςΕΥΓΕΝΙΟΣ ΓΙΑΝΝΑΚΟΠΟΥΛΟΣ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