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ΠΟΛ.1198/25.8.2014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Τύπος και περιεχόμενο της δήλωσης ΦΠΑ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25.8.2014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Β' 2382/08-09-2014)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14η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ΔΙΕΥΘΥΝΣΗ ΗΛΕΚΤΡΟΝΙΚΗΣ ΔΙΑΚΥΒΕΡΝΗΣΗΣ (e- εφαρμογές)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Αικ. Καρύδα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 : dfpa.a1@1992.syzefxis.gov.gr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1198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«Τύπος και περιεχόμενο της δήλωσης ΦΠΑ.»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παραγράφων 1, 8 και 10 του άρθρου 38 του Κώδικα ΦΠΑ (κύρωση με το ν.2859/2000 - ΦΕΚ 248 Α΄/7.11.2000),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6 και 18 παρ. 2 του Κώδικα Φορολογικής Διαδικασίας (ν.4174/2013 - ΦΕΚ 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ΑΥΟ ΠΟΛ.1149/14.7.2011 (ΦΕΚ 1688B΄/29.7.2011) «Τύπος και περιεχόμενο της περιοδικής δήλωσης Φ.Π.Α. (έντυπο 050 – ΦΠΑ ΕΚΔΟΣΗ 2η 2011, Φ2 TAXIS)» και ΠΟΛ.1129/3.6.2013 (ΦΕΚ 1365Β΄/4.6.2013) «Τροποποίηση του χρόνου υποβολής της περιοδικής δήλωσης ΦΠΑ και του περιεχομένου του εντύπου 050 – ΦΠΑ ΕΚΔΟΣΗ 2η 2011, Φ2 TAXIS».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υποπαραγράφου Ε2 της παρ. Ε του πρώτου άρθρου του ν.4093/2012 περί σύστασης θέσης Γενικού Γραμματέα Δημοσίων Εσόδων (ΦΕΚ Α΄ 222)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20/25.6.2014 (Υ.Ο.Δ.Δ. 360) Πράξη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Ορίζουμε τον τύπο και το περιεχόμενο της δήλωσης ΦΠΑ (έντυπο 050 – ΦΠΑ ΕΚΔΟΣΗ 2014, Φ2 TAXIS) όπως το </w:t>
      </w:r>
      <w:r>
        <w:rPr>
          <w:b/>
          <w:bCs/>
          <w:lang w:val="el" w:eastAsia="el"/>
        </w:rPr>
        <w:t>υπόδειγμα</w:t>
      </w:r>
      <w:r>
        <w:rPr>
          <w:lang w:val="el" w:eastAsia="el"/>
        </w:rPr>
        <w:t xml:space="preserve"> που επισυνάπτεται στην παρούσα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δήλωση της παραγράφου 1 ισχύει για πράξεις που πραγματοποιούνται από 1.4.2015 και εφεξής.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Οι Αποφάσεις του Υπουργού Οικονομικών ΠΟΛ.1149/14.7.2011 και ΠΟΛ.1129/3.6.2013 καταργούνται από 1.4.2015.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 παρούσα απόφαση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Γενική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Αικ. Σαββαΐδου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Προϊστάμενος της Γραμματείας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ΠΟΛ.1049/2015 18.03.2015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ΠΟΛ.1049/2015 18.03.2015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