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ΦΕΚ: 2853 Β΄/22-10-2014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13/10/2014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1224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ΠΡΟΣ: </w:t>
      </w:r>
      <w:r>
        <w:rPr>
          <w:lang w:val="el" w:eastAsia="el"/>
        </w:rPr>
        <w:t>Ως Πίνακας Αποδεκτών.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Τροποποίηση της ΠΟΛ 1052/17-02-2014 (ΦΕΚ 389 B΄) Απόφασης του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ΓΕΝΙΚΗ ΓΡΑΜΜΑΤΕΑΣ ΔΗΜΟΣΙΩΝ ΕΣΟΔΩΝ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Τις διατάξεις του άρθρου 23 του ν. 3427/2005 (ΦΕΚ 312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Την ΠΟΛ 1052/17-2-2014 (ΦΕΚ 389 B΄) απόφαση Γενικού Γραμματέα Δημοσίων Εσόδων «Τύπος και περιεχόμενο της δήλωσης στοιχείων ακινήτων (Ε9) φυσικών και νομικών προσώπων έτους 2014, τρόπος αναγραφής των ακινήτων, δικαιολογητικά που συνυποβάλλονται και διαδικασία υποβολής της».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Τις εξουσιοδοτικές διατάξεις των άρθρων 4, 18 του ν. 4174/2013 (ΦΕΚ 170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Τις διατάξεις των άρθρων 1 έως και 8 του ν. 4223/2013 (ΦΕΚ 287 Α΄).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Τις διατάξεις της υποπαραγράφου Ε2 της παραγράφου Ε του πρώτου άρθρου του ν. 4093/2012 (ΦΕΚ 222 Α΄), όπως ισχύει, περί σύστασης θέσης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Την Πράξη 20/25-6-2014 του Υπουργικού Συμβουλίου (ΦΕΚ 360 ΥΟΔΔ), περί επιλογής και διορισμού Γενικού Γραμματέα της Γενικής Γραμματείας Δημοσίων Εσόδων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Το γεγονός ότι δεν προκαλείται μείωση κατά τον υπολογισμό των ακινήτων στη δήλωση ενιαίου φόρου ιδιοκτησίας ακινήτων.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Την ανάγκη διευκόλυνσης των συναλλαγών με την απλούστευση των διαδικασιών.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>Το γεγονός ότι με την παρούσα απόφαση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περίπτωση 10 του άρθρου 4 της ΠΟΛ 1052/17-02-2014 (ΦΕΚ 389 B΄) απόφασης του Γενικού Γραμματέα Δημοσίων Εσόδων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 </w:t>
      </w:r>
      <w:r>
        <w:rPr>
          <w:b/>
          <w:bCs/>
          <w:lang w:val="el" w:eastAsia="el"/>
        </w:rPr>
        <w:t>.«</w:t>
      </w:r>
      <w:r>
        <w:rPr>
          <w:lang w:val="el" w:eastAsia="el"/>
        </w:rPr>
        <w:t>Η επιφάνεια των λωρίδων γης, στις οποίες βρίσκονται σιδηροτροχιές ή στις οποίες εδράζονται πύργοι και γραμμές μεταφοράς ηλεκτρικής ενέργειας, αναγράφεται συνολικά ως οικόπεδο ή γήπεδο, κατά περίπτωση, ανά Δήμο».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Η Γενική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Προϊσταμένη της Γραμματείας </w:t>
      </w:r>
      <w:r>
        <w:rPr>
          <w:b/>
          <w:bCs/>
          <w:lang w:val="el" w:eastAsia="el"/>
        </w:rPr>
        <w:t>Αικατερίνη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ΑΜΕΣΗ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ΕΝΕΡΓΕΙΑ (ΜΕΤΑ ΤΗ ΔΗΜΟΣΙΕΥΣΗ ΣΤΗΝ ΕΦΗΜΕΡΙΔΑ ΤΗΣ ΚΥΒΕΡΝΗΣΕΩΣ)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Δημόσιες Οικονομικές Υπηρεσίες (Εξαιρετικά Επείγον – Αποστολή και μέσω ηλεκτρονικού ταχυδρομείου)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Δ/νση Υποστήριξης Ηλεκτρονικά Συναλλασσομένων (e-υπηρεσίες):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siteadmin@gsis.gr</w:t>
        </w:r>
      </w:hyperlink>
      <w:r>
        <w:rPr>
          <w:lang w:val="el" w:eastAsia="el"/>
        </w:rPr>
        <w:t xml:space="preserve">, με την παράκληση να αναρτηθεί στην ιστοσελίδα: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 xml:space="preserve">www.publicrevenue.gr </w:t>
        </w:r>
      </w:hyperlink>
      <w:r>
        <w:rPr>
          <w:lang w:val="el" w:eastAsia="el"/>
        </w:rPr>
        <w:t>της Γ.Γ.Δ.Ε..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2,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(περίπτωση 3 έως και 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Ζ΄ (περιπτώσεις 1,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Η΄ (περιπτώσεις 1 – 3, 5 - 9)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ΚΑ΄ (περιπτώσεις 1 –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IV.ΕΣΩΤΕΡΙΚΗ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Γραφείου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Διευθύνσεις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Φορολογίας Κεφαλαίου – Τμήματα Α΄, Β΄ (από 3), Φ.Μ.Α.Π. (σε 20)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iteadmin@gsis.gr" TargetMode="External" /><Relationship Id="rId5" Type="http://schemas.openxmlformats.org/officeDocument/2006/relationships/hyperlink" Target="http://www.publicrevenu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