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ΑΝΑΡΤΗΤΕΑ ΣΤΟ ΔΙΑΔΙΚΤΥΟ</w:t>
      </w:r>
    </w:p>
    <w:p>
      <w:pPr>
        <w:pStyle w:val="PreambelText"/>
        <w:spacing w:before="240" w:after="240"/>
        <w:rPr>
          <w:lang w:val="el" w:eastAsia="el"/>
        </w:rPr>
      </w:pPr>
      <w:r>
        <w:rPr>
          <w:b/>
          <w:bCs/>
          <w:lang w:val="el" w:eastAsia="el"/>
        </w:rPr>
        <w:t>ΕΛΛΗΝΙΚΗ ΔΗΜΟΚΡΑΤΙΑ ΦΕΚ. 2853/Β΄/22-10-2014</w:t>
      </w:r>
    </w:p>
    <w:p>
      <w:pPr>
        <w:pStyle w:val="PreambelText"/>
        <w:spacing w:before="240" w:after="240"/>
        <w:rPr>
          <w:lang w:val="el" w:eastAsia="el"/>
        </w:rPr>
      </w:pPr>
      <w:r>
        <w:rPr>
          <w:b/>
          <w:bCs/>
          <w:lang w:val="el" w:eastAsia="el"/>
        </w:rPr>
        <w:t>…………………………………………………………………………….Α.Δ.Α:</w:t>
      </w:r>
    </w:p>
    <w:p>
      <w:pPr>
        <w:pStyle w:val="PreambelText"/>
        <w:spacing w:before="240" w:after="240"/>
        <w:rPr>
          <w:lang w:val="el" w:eastAsia="el"/>
        </w:rPr>
      </w:pPr>
      <w:r>
        <w:rPr>
          <w:b/>
          <w:bCs/>
          <w:lang w:val="el" w:eastAsia="el"/>
        </w:rPr>
        <w:t>ΥΠΟΥΡΓΕΙΟ ΟΙΚΟΝΟΜΙΚΩΝ Αθήνα, 15/10/2014</w:t>
      </w:r>
    </w:p>
    <w:p>
      <w:pPr>
        <w:pStyle w:val="PreambelText"/>
        <w:spacing w:before="240" w:after="240"/>
        <w:rPr>
          <w:lang w:val="el" w:eastAsia="el"/>
        </w:rPr>
      </w:pPr>
      <w:r>
        <w:rPr>
          <w:b/>
          <w:bCs/>
          <w:lang w:val="el" w:eastAsia="el"/>
        </w:rPr>
        <w:t>γενικη γραμματεια δημοσιων εσοδων ΠΟΛ. 1227</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Δ/ΝΣΗ ΦΟΡΟΛΟΓΙΑΣ ΚΕΦΑΛΑΙΟΥ</w:t>
      </w:r>
    </w:p>
    <w:p>
      <w:pPr>
        <w:pStyle w:val="PreambelText"/>
        <w:spacing w:before="240" w:after="240"/>
        <w:rPr>
          <w:lang w:val="el" w:eastAsia="el"/>
        </w:rPr>
      </w:pPr>
      <w:r>
        <w:rPr>
          <w:b/>
          <w:bCs/>
          <w:lang w:val="el" w:eastAsia="el"/>
        </w:rPr>
        <w:t>ΤΜΗΜΑΤΑ Α΄ και Β΄</w:t>
      </w:r>
    </w:p>
    <w:p>
      <w:pPr>
        <w:pStyle w:val="PreambelText"/>
        <w:spacing w:before="240" w:after="240"/>
        <w:rPr>
          <w:lang w:val="el" w:eastAsia="el"/>
        </w:rPr>
      </w:pPr>
      <w:r>
        <w:rPr>
          <w:lang w:val="el" w:eastAsia="el"/>
        </w:rPr>
        <w:t xml:space="preserve">2. </w:t>
      </w:r>
      <w:r>
        <w:rPr>
          <w:b/>
          <w:bCs/>
          <w:lang w:val="el" w:eastAsia="el"/>
        </w:rPr>
        <w:t>Δ/ΝΣΗ ΕΛΕΓΧΩΝ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Καρ. Σερβίας 8 ΠΡΟΣ:</w:t>
      </w:r>
    </w:p>
    <w:p>
      <w:pPr>
        <w:spacing w:before="240" w:after="240"/>
        <w:rPr>
          <w:lang w:val="el" w:eastAsia="el"/>
        </w:rPr>
      </w:pPr>
      <w:r>
        <w:rPr>
          <w:b/>
          <w:bCs/>
          <w:lang w:val="el" w:eastAsia="el"/>
        </w:rPr>
        <w:t>Ταχ. Κώδ.: 101 84 Αθήνα</w:t>
      </w:r>
    </w:p>
    <w:p>
      <w:pPr>
        <w:spacing w:before="240" w:after="240"/>
        <w:rPr>
          <w:lang w:val="el" w:eastAsia="el"/>
        </w:rPr>
      </w:pPr>
      <w:r>
        <w:rPr>
          <w:b/>
          <w:bCs/>
          <w:lang w:val="el" w:eastAsia="el"/>
        </w:rPr>
        <w:t>Τηλέφωνο: 210 3375832, 5876,</w:t>
      </w:r>
    </w:p>
    <w:p>
      <w:pPr>
        <w:spacing w:before="240" w:after="240"/>
        <w:rPr>
          <w:lang w:val="el" w:eastAsia="el"/>
        </w:rPr>
      </w:pPr>
      <w:r>
        <w:rPr>
          <w:b/>
          <w:bCs/>
          <w:lang w:val="el" w:eastAsia="el"/>
        </w:rPr>
        <w:t>FAX: 210 3375834</w:t>
      </w:r>
    </w:p>
    <w:p>
      <w:pPr>
        <w:spacing w:before="240" w:after="240"/>
        <w:rPr>
          <w:lang w:val="el" w:eastAsia="el"/>
        </w:rPr>
      </w:pPr>
      <w:r>
        <w:rPr>
          <w:b/>
          <w:bCs/>
          <w:lang w:val="el" w:eastAsia="el"/>
        </w:rPr>
        <w:t xml:space="preserve">e-mail: </w:t>
      </w:r>
      <w:hyperlink r:id="rId5" w:history="1">
        <w:r>
          <w:rPr>
            <w:rStyle w:val="Hyperlink"/>
            <w:b/>
            <w:bCs/>
            <w:color w:val="0000EE"/>
            <w:u w:color="0000EE"/>
            <w:lang w:val="el" w:eastAsia="el"/>
          </w:rPr>
          <w:t>d13.a@yo.syzefxis.gov.gr</w:t>
        </w:r>
      </w:hyperlink>
    </w:p>
    <w:p>
      <w:pPr>
        <w:spacing w:before="240" w:after="240"/>
        <w:rPr>
          <w:lang w:val="el" w:eastAsia="el"/>
        </w:rPr>
      </w:pPr>
      <w:r>
        <w:rPr>
          <w:b/>
          <w:bCs/>
          <w:lang w:val="el" w:eastAsia="el"/>
        </w:rPr>
        <w:t>Θέμα: Τύπος της οριστικής πράξης διορθωτικού προσδιορισμού φόρου κληρονομιάς, δωρεάς, γονικής παροχής, προίκας και μεταβίβασης ακινήτων.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2, 5, 23, 25, 28, 30, 34, 37, 41, 63 και 66 του ν. 4174/2013 (ΦΕΚ 170 Α΄/26-07-2013) «Φορολογικές Διαδικασίες και άλλες διατάξεις» (Κ.Φ.Δ.), όπως ισχύει.</w:t>
      </w:r>
    </w:p>
    <w:p>
      <w:pPr>
        <w:spacing w:before="240" w:after="240"/>
        <w:rPr>
          <w:lang w:val="el" w:eastAsia="el"/>
        </w:rPr>
      </w:pPr>
      <w:r>
        <w:rPr>
          <w:lang w:val="el" w:eastAsia="el"/>
        </w:rPr>
        <w:t>2. Τις διατάξεις του Κώδικα Διατάξεων Φορολογίας Κληρονομιών, Δωρεών, Γονικών Παροχών και Κερδών από τυχερά παίγνια, ο οποίος κυρώθηκε με το πρώτο άρθρο του ν. 2961/2001 (ΦΕΚ 266 Α΄), όπως ισχύει.</w:t>
      </w:r>
    </w:p>
    <w:p>
      <w:pPr>
        <w:spacing w:before="240" w:after="240"/>
        <w:rPr>
          <w:lang w:val="el" w:eastAsia="el"/>
        </w:rPr>
      </w:pPr>
      <w:r>
        <w:rPr>
          <w:lang w:val="el" w:eastAsia="el"/>
        </w:rPr>
        <w:t>3. Τις διατάξεις περί φορολογίας μεταβίβασης ακινήτων του α.ν. 1521/1950 (ΦΕΚ 245 Α΄), ο οποίος κυρώθηκε με το ν. 1587/1950 (ΦΕΚ 294 Α΄), όπως ισχύει.</w:t>
      </w:r>
    </w:p>
    <w:p>
      <w:pPr>
        <w:spacing w:before="240" w:after="240"/>
        <w:rPr>
          <w:lang w:val="el" w:eastAsia="el"/>
        </w:rPr>
      </w:pPr>
      <w:r>
        <w:rPr>
          <w:lang w:val="el" w:eastAsia="el"/>
        </w:rPr>
        <w:t>4. Τη με αριθ. πρωτ. Δ6Α 1036682ΕΞ2014/25.2.2014 (ΦΕΚ 478Β΄και 558) απόφαση του Γενικού Γραμματέα Δημοσίων Εσόδων του Υπουργείου Οικονομικών, με θέμα «Μεταβίβαση αρμοδιοτήτων και εξουσιοδότηση υπογραφής «Με εντολή Γενικού Γραμματέα Δημοσίων Εσόδων» σε όργανα της Φορολογικής Διοίκησης», όπως έχει τροποποιηθεί και ισχύει.</w:t>
      </w:r>
    </w:p>
    <w:p>
      <w:pPr>
        <w:spacing w:before="240" w:after="240"/>
        <w:rPr>
          <w:lang w:val="el" w:eastAsia="el"/>
        </w:rPr>
      </w:pPr>
      <w:r>
        <w:rPr>
          <w:lang w:val="el" w:eastAsia="el"/>
        </w:rPr>
        <w:t>5. Τις διατάξεις της υποπαραγράφου Ε2 της παραγράφου Ε΄ του άρθρου πρώτου του ν. 4093/2012 περί σύστασης θέσης Γενικού Γραμματέα Δημοσίων Εσόδων (Α΄222), όπως ισχύει.</w:t>
      </w:r>
    </w:p>
    <w:p>
      <w:pPr>
        <w:spacing w:before="240" w:after="240"/>
        <w:rPr>
          <w:lang w:val="el" w:eastAsia="el"/>
        </w:rPr>
      </w:pPr>
      <w:r>
        <w:rPr>
          <w:lang w:val="el" w:eastAsia="el"/>
        </w:rPr>
        <w:t>6. Την Πράξη του Υπουργικού Συμβουλίου αρ. 20 της 25-06-2014 (ΥΟΔΔ 360)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7. Το γεγονός ότι με την παρούσα απόφαση δεν πραγματοποιείται επιπλέον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1. Ο τύπος της οριστικής πράξης διορθωτικού προσδιορισμού φόρου κληρονομιάς, δωρεάς, γονικής παροχής και μεταβίβασης ακινήτων έχει ως το σχετικό υπόδειγμα, που επισυνάπτεται ως παράρτημα της απόφασης αυτής.</w:t>
      </w:r>
    </w:p>
    <w:p>
      <w:pPr>
        <w:spacing w:before="240" w:after="240"/>
        <w:rPr>
          <w:lang w:val="el" w:eastAsia="el"/>
        </w:rPr>
      </w:pPr>
      <w:r>
        <w:rPr>
          <w:lang w:val="el" w:eastAsia="el"/>
        </w:rPr>
        <w:t>2. Η πράξη διορθωτικού προσδιορισμού του φόρου, κοινοποιείται κατά τα οριζόμενα στις περιπτώσεις β και γ της παραγράφου 2 και στις περιπτώσεις β, γ και δ της παραγράφου 3 του άρθρου 5 του Κ.Φ.Δ..</w:t>
      </w:r>
    </w:p>
    <w:p>
      <w:pPr>
        <w:spacing w:before="240" w:after="240"/>
        <w:rPr>
          <w:lang w:val="el" w:eastAsia="el"/>
        </w:rPr>
      </w:pPr>
      <w:r>
        <w:rPr>
          <w:lang w:val="el" w:eastAsia="el"/>
        </w:rPr>
        <w:t>3. Η απόφαση αυτή να δημοσιευθεί στην Εφημερίδα της Κυβερνήσεως και θα ισχύσει από την 1η Ιανουαρίου 2015.</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b/>
          <w:bCs/>
          <w:lang w:val="el" w:eastAsia="el"/>
        </w:rPr>
        <w:t>ΑΙΚΑΤΕΡΙΝΗ ΣΑΒΒΑΪΔΟΥ</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Η Προϊσταμένη της Γραμματείας</w:t>
      </w:r>
    </w:p>
    <w:p>
      <w:pPr>
        <w:spacing w:before="240" w:after="240"/>
        <w:rPr>
          <w:lang w:val="el" w:eastAsia="el"/>
        </w:rPr>
      </w:pPr>
      <w:r>
        <w:rPr>
          <w:b/>
          <w:bCs/>
          <w:u w:val="single"/>
          <w:lang w:val="el" w:eastAsia="el"/>
        </w:rPr>
        <w:t xml:space="preserve">ΣΥΝΗΜΜΕΝΑ </w:t>
      </w:r>
      <w:r>
        <w:rPr>
          <w:b/>
          <w:bCs/>
          <w:u w:val="single"/>
          <w:lang w:val="el" w:eastAsia="el"/>
        </w:rPr>
        <w:t>: 1</w:t>
      </w:r>
    </w:p>
    <w:p>
      <w:pPr>
        <w:spacing w:before="240" w:after="240"/>
        <w:rPr>
          <w:lang w:val="el" w:eastAsia="el"/>
        </w:rPr>
      </w:pPr>
      <w:r>
        <w:rPr>
          <w:b/>
          <w:bCs/>
          <w:u w:val="single"/>
          <w:lang w:val="el" w:eastAsia="el"/>
        </w:rPr>
        <w:t>ΠΙΝΑΚΑΣ ΑΠΟΔΕΚΤΩΝ</w:t>
      </w:r>
    </w:p>
    <w:p>
      <w:pPr>
        <w:spacing w:before="240" w:after="240"/>
        <w:rPr>
          <w:lang w:val="el" w:eastAsia="el"/>
        </w:rPr>
      </w:pPr>
      <w:r>
        <w:rPr>
          <w:lang w:val="el" w:eastAsia="el"/>
        </w:rPr>
        <w:t xml:space="preserve">I. </w:t>
      </w:r>
      <w:r>
        <w:rPr>
          <w:b/>
          <w:bCs/>
          <w:u w:val="single"/>
          <w:lang w:val="el" w:eastAsia="el"/>
        </w:rPr>
        <w:t>ΑΠΟΔΕΚΤΕΣ ΓΙΑ ΑΜΕΣΗ ΕΝΕΡΓΕΙΑ:</w:t>
      </w:r>
    </w:p>
    <w:p>
      <w:pPr>
        <w:spacing w:before="240" w:after="240"/>
        <w:rPr>
          <w:lang w:val="el" w:eastAsia="el"/>
        </w:rPr>
      </w:pPr>
      <w:r>
        <w:rPr>
          <w:lang w:val="el" w:eastAsia="el"/>
        </w:rPr>
        <w:t>Εθνικό Τυπογραφείο (για δημοσίευση στην Εφημερίδα της Κυβέρνησης).</w:t>
      </w:r>
    </w:p>
    <w:p>
      <w:pPr>
        <w:spacing w:before="240" w:after="240"/>
        <w:rPr>
          <w:lang w:val="el" w:eastAsia="el"/>
        </w:rPr>
      </w:pPr>
      <w:r>
        <w:rPr>
          <w:lang w:val="el" w:eastAsia="el"/>
        </w:rPr>
        <w:t xml:space="preserve">II. </w:t>
      </w:r>
      <w:r>
        <w:rPr>
          <w:b/>
          <w:bCs/>
          <w:u w:val="single"/>
          <w:lang w:val="el" w:eastAsia="el"/>
        </w:rPr>
        <w:t>ΑΠΟΔΕΚΤΕΣ ΓΙΑ ΕΝΕΡΓΕΙΑ:</w:t>
      </w:r>
      <w:r>
        <w:rPr>
          <w:b/>
          <w:bCs/>
          <w:lang w:val="el" w:eastAsia="el"/>
        </w:rPr>
        <w:t>(Μετά τη δημοσίευση στην Εφημερίδα της Κυβέρνησης)</w:t>
      </w:r>
    </w:p>
    <w:p>
      <w:pPr>
        <w:spacing w:before="240" w:after="240"/>
        <w:rPr>
          <w:lang w:val="el" w:eastAsia="el"/>
        </w:rPr>
      </w:pPr>
      <w:r>
        <w:rPr>
          <w:b/>
          <w:bCs/>
          <w:lang w:val="el" w:eastAsia="el"/>
        </w:rPr>
        <w:t>1. Όλες οι Δημόσιες Οικονομικές Υπηρεσίες</w:t>
      </w:r>
    </w:p>
    <w:p>
      <w:pPr>
        <w:spacing w:before="240" w:after="240"/>
        <w:rPr>
          <w:lang w:val="el" w:eastAsia="el"/>
        </w:rPr>
      </w:pPr>
      <w:r>
        <w:rPr>
          <w:b/>
          <w:bCs/>
          <w:lang w:val="el" w:eastAsia="el"/>
        </w:rPr>
        <w:t>2. Διεύθυνση Υποστήριξης Ηλεκτρονικά Συναλλασσομένων (e-υπηρεσίες, με την παράκληση να αναρτηθεί στην ιστοσελίδα της</w:t>
      </w:r>
      <w:hyperlink r:id="rId6" w:history="1">
        <w:r>
          <w:rPr>
            <w:rStyle w:val="Hyperlink"/>
            <w:b/>
            <w:bCs/>
            <w:color w:val="0000EE"/>
            <w:u w:color="0000EE"/>
            <w:lang w:val="el" w:eastAsia="el"/>
          </w:rPr>
          <w:t xml:space="preserve">www . publicrevenue . gr </w:t>
        </w:r>
      </w:hyperlink>
      <w:r>
        <w:rPr>
          <w:b/>
          <w:bCs/>
          <w:u w:val="single"/>
          <w:lang w:val="el" w:eastAsia="el"/>
        </w:rPr>
        <w:t>της Γ.Γ.Δ.Ε.</w:t>
      </w:r>
      <w:r>
        <w:rPr>
          <w:b/>
          <w:bCs/>
          <w:lang w:val="el" w:eastAsia="el"/>
        </w:rPr>
        <w:t>).</w:t>
      </w:r>
    </w:p>
    <w:p>
      <w:pPr>
        <w:spacing w:before="240" w:after="240"/>
        <w:rPr>
          <w:lang w:val="el" w:eastAsia="el"/>
        </w:rPr>
      </w:pPr>
      <w:r>
        <w:rPr>
          <w:b/>
          <w:bCs/>
          <w:lang w:val="el" w:eastAsia="el"/>
        </w:rPr>
        <w:t xml:space="preserve">III. </w:t>
      </w:r>
      <w:r>
        <w:rPr>
          <w:b/>
          <w:bCs/>
          <w:u w:val="single"/>
          <w:lang w:val="el" w:eastAsia="el"/>
        </w:rPr>
        <w:t>ΑΠΟΔΕΚΤΕΣ ΓΙΑ ΚΟΙΝΟΠΟΙΗΣΗ:</w:t>
      </w:r>
    </w:p>
    <w:p>
      <w:pPr>
        <w:spacing w:before="240" w:after="240"/>
        <w:rPr>
          <w:lang w:val="el" w:eastAsia="el"/>
        </w:rPr>
      </w:pPr>
      <w:r>
        <w:rPr>
          <w:b/>
          <w:bCs/>
          <w:lang w:val="el" w:eastAsia="el"/>
        </w:rPr>
        <w:t>1. Αποδέκτες Πίνακα Β΄ (πλην των περιπτώσεων 1, 2)</w:t>
      </w:r>
    </w:p>
    <w:p>
      <w:pPr>
        <w:spacing w:before="240" w:after="240"/>
        <w:rPr>
          <w:lang w:val="el" w:eastAsia="el"/>
        </w:rPr>
      </w:pPr>
      <w:r>
        <w:rPr>
          <w:b/>
          <w:bCs/>
          <w:lang w:val="el" w:eastAsia="el"/>
        </w:rPr>
        <w:t>2. Αποδέκτες Πίνακα Ζ΄ (περιπτώσεις 1, 2)</w:t>
      </w:r>
    </w:p>
    <w:p>
      <w:pPr>
        <w:spacing w:before="240" w:after="240"/>
        <w:rPr>
          <w:lang w:val="el" w:eastAsia="el"/>
        </w:rPr>
      </w:pPr>
      <w:r>
        <w:rPr>
          <w:b/>
          <w:bCs/>
          <w:lang w:val="el" w:eastAsia="el"/>
        </w:rPr>
        <w:t>3. Αποδέκτες Πίνακα Η΄ (πλην των περιπτώσεων 10, 11)</w:t>
      </w:r>
    </w:p>
    <w:p>
      <w:pPr>
        <w:spacing w:before="240" w:after="240"/>
        <w:rPr>
          <w:lang w:val="el" w:eastAsia="el"/>
        </w:rPr>
      </w:pPr>
      <w:r>
        <w:rPr>
          <w:b/>
          <w:bCs/>
          <w:lang w:val="el" w:eastAsia="el"/>
        </w:rPr>
        <w:t>4. Δικηγορικοί Σύλλογοι</w:t>
      </w:r>
    </w:p>
    <w:p>
      <w:pPr>
        <w:spacing w:before="240" w:after="240"/>
        <w:rPr>
          <w:lang w:val="el" w:eastAsia="el"/>
        </w:rPr>
      </w:pPr>
      <w:r>
        <w:rPr>
          <w:b/>
          <w:bCs/>
          <w:lang w:val="el" w:eastAsia="el"/>
        </w:rPr>
        <w:t>5. Δ/νση Ηλεκτρονικής Διακυβέρνησης</w:t>
      </w:r>
    </w:p>
    <w:p>
      <w:pPr>
        <w:spacing w:before="240" w:after="240"/>
        <w:rPr>
          <w:lang w:val="el" w:eastAsia="el"/>
        </w:rPr>
      </w:pPr>
      <w:r>
        <w:rPr>
          <w:b/>
          <w:bCs/>
          <w:lang w:val="el" w:eastAsia="el"/>
        </w:rPr>
        <w:t xml:space="preserve">IV. </w:t>
      </w:r>
      <w:r>
        <w:rPr>
          <w:b/>
          <w:bCs/>
          <w:u w:val="single"/>
          <w:lang w:val="el" w:eastAsia="el"/>
        </w:rPr>
        <w:t>ΕΣΩΤΕΡΙΚΗ ΔΙΑΝΟΜΗ: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Γενικής Γραμματέως Δημοσίων Εσόδων</w:t>
      </w:r>
    </w:p>
    <w:p>
      <w:pPr>
        <w:spacing w:before="240" w:after="240"/>
        <w:rPr>
          <w:lang w:val="el" w:eastAsia="el"/>
        </w:rPr>
      </w:pPr>
      <w:r>
        <w:rPr>
          <w:b/>
          <w:bCs/>
          <w:lang w:val="el" w:eastAsia="el"/>
        </w:rPr>
        <w:t>4. Γραφεία κ. κ. Γενικών Διευθυντών</w:t>
      </w:r>
    </w:p>
    <w:p>
      <w:pPr>
        <w:spacing w:before="240" w:after="240"/>
        <w:rPr>
          <w:lang w:val="el" w:eastAsia="el"/>
        </w:rPr>
      </w:pPr>
      <w:r>
        <w:rPr>
          <w:b/>
          <w:bCs/>
          <w:lang w:val="el" w:eastAsia="el"/>
        </w:rPr>
        <w:t>5. Διευθύνσεις και Αυτοτελή Γραφεία</w:t>
      </w:r>
    </w:p>
    <w:p>
      <w:pPr>
        <w:spacing w:before="240" w:after="240"/>
        <w:rPr>
          <w:lang w:val="el" w:eastAsia="el"/>
        </w:rPr>
      </w:pPr>
      <w:r>
        <w:rPr>
          <w:b/>
          <w:bCs/>
          <w:lang w:val="el" w:eastAsia="el"/>
        </w:rPr>
        <w:t>6. Γραφείο Πληροφόρησης Πολιτών (3)</w:t>
      </w:r>
    </w:p>
    <w:p>
      <w:pPr>
        <w:spacing w:before="240" w:after="240"/>
        <w:rPr>
          <w:lang w:val="el" w:eastAsia="el"/>
        </w:rPr>
      </w:pPr>
      <w:r>
        <w:rPr>
          <w:b/>
          <w:bCs/>
          <w:lang w:val="el" w:eastAsia="el"/>
        </w:rPr>
        <w:t>7. Διεύθυνση Ελέγχων – Τμήματα Α΄, Β΄, Γ΄, Δ΄(από 5)</w:t>
      </w:r>
    </w:p>
    <w:p>
      <w:pPr>
        <w:spacing w:before="240" w:after="240"/>
        <w:rPr>
          <w:lang w:val="el" w:eastAsia="el"/>
        </w:rPr>
      </w:pPr>
      <w:r>
        <w:rPr>
          <w:b/>
          <w:bCs/>
          <w:lang w:val="el" w:eastAsia="el"/>
        </w:rPr>
        <w:t>8. Διεύθυνση Φορολογίας Κεφαλαίου–Τμήματα Α΄,Β΄(από 20), Φ.Μ.Α.Π. (3)</w:t>
      </w:r>
    </w:p>
    <w:p>
      <w:pPr>
        <w:spacing w:before="240" w:after="240"/>
        <w:rPr>
          <w:lang w:val="el" w:eastAsia="el"/>
        </w:rPr>
      </w:pPr>
      <w:r>
        <w:rPr>
          <w:b/>
          <w:bCs/>
          <w:lang w:val="el" w:eastAsia="el"/>
        </w:rPr>
        <w:t>ΟΡΙΣΤΙΚΗ ΠΡΑΞΗ ΔΙΟΡΘΩΤΙΚΟΥ ΠΡΟΣΔΙΟΡΙΣΜΟΥ ΦΟΡΟΥΚΛΗΡΟΝΟΜΙΑΣ/ΔΩΡΕΑΣ/ΓΟΝΙΚΗΣ ΠΑΡΟΧΗΣ/ΠΡΟΙΚΑΣ/ΜΕΤΑΒΙΒΑΣΗΣ ΑΚΙΝΗΤΟΥ</w:t>
      </w:r>
      <w:r>
        <w:rPr>
          <w:rStyle w:val="Hyperlink"/>
          <w:b/>
          <w:bCs/>
          <w:color w:val="000000"/>
          <w:sz w:val="20"/>
          <w:szCs w:val="20"/>
          <w:u w:val="none" w:color="0000EE"/>
          <w:vertAlign w:val="superscript"/>
          <w:lang w:val="el" w:eastAsia="el"/>
        </w:rPr>
        <w:footnoteReference w:id="2"/>
      </w:r>
    </w:p>
    <w:p>
      <w:pPr>
        <w:spacing w:before="240" w:after="240"/>
        <w:rPr>
          <w:lang w:val="el" w:eastAsia="el"/>
        </w:rPr>
      </w:pPr>
      <w:r>
        <w:rPr>
          <w:b/>
          <w:bCs/>
          <w:lang w:val="el" w:eastAsia="el"/>
        </w:rPr>
        <w:t>ΧΡΟΝΟΛΟΓΙΑ ΦΟΡΟΛΟΓΙΑΣ: ……………………………………………………………….</w:t>
      </w:r>
    </w:p>
    <w:p>
      <w:pPr>
        <w:spacing w:before="240" w:after="240"/>
        <w:rPr>
          <w:lang w:val="el" w:eastAsia="el"/>
        </w:rPr>
      </w:pPr>
      <w:r>
        <w:rPr>
          <w:b/>
          <w:bCs/>
          <w:lang w:val="el" w:eastAsia="el"/>
        </w:rPr>
        <w:t xml:space="preserve">ΣΤΟΙΧΕΙΑ ΚΛΗΡΟΝΟΜΟΥΜΕΝΟΥ/ΔΩΡΗΤΗ/ΓΟΝΕΑ/ΠΡΟΙΚΟΔΟΤΗ/ΠΩΛΗΤΗ </w:t>
      </w:r>
      <w:r>
        <w:rPr>
          <w:b/>
          <w:bCs/>
          <w:sz w:val="30"/>
          <w:szCs w:val="30"/>
          <w:vertAlign w:val="superscript"/>
          <w:lang w:val="el" w:eastAsia="el"/>
        </w:rPr>
        <w:t>(1)</w:t>
      </w:r>
    </w:p>
    <w:p>
      <w:pPr>
        <w:spacing w:before="240" w:after="240"/>
        <w:rPr>
          <w:lang w:val="el" w:eastAsia="el"/>
        </w:rPr>
      </w:pPr>
      <w:r>
        <w:rPr>
          <w:b/>
          <w:bCs/>
          <w:lang w:val="el" w:eastAsia="el"/>
        </w:rPr>
        <w:t>ΕΠΩΝΥΜΟ……………………………..…..…………ΟΝΟΜΑ………………………….. ΟΝΟΜΑ ΠΑΤΕΡΑ………………..</w:t>
      </w:r>
    </w:p>
    <w:p>
      <w:pPr>
        <w:spacing w:before="240" w:after="240"/>
        <w:rPr>
          <w:lang w:val="el" w:eastAsia="el"/>
        </w:rPr>
      </w:pPr>
      <w:r>
        <w:rPr>
          <w:b/>
          <w:bCs/>
          <w:lang w:val="el" w:eastAsia="el"/>
        </w:rPr>
        <w:t>ΕΠΩΝΥΜΙΑ</w:t>
      </w:r>
      <w:r>
        <w:rPr>
          <w:rStyle w:val="Hyperlink"/>
          <w:b/>
          <w:bCs/>
          <w:color w:val="000000"/>
          <w:sz w:val="20"/>
          <w:szCs w:val="20"/>
          <w:u w:val="none" w:color="0000EE"/>
          <w:vertAlign w:val="superscript"/>
          <w:lang w:val="el" w:eastAsia="el"/>
        </w:rPr>
        <w:footnoteReference w:id="3"/>
      </w:r>
      <w:r>
        <w:rPr>
          <w:b/>
          <w:bCs/>
          <w:lang w:val="el" w:eastAsia="el"/>
        </w:rPr>
        <w:t>……………………………………………………………………………………………..…………..</w:t>
      </w:r>
    </w:p>
    <w:p>
      <w:pPr>
        <w:spacing w:before="240" w:after="240"/>
        <w:rPr>
          <w:lang w:val="el" w:eastAsia="el"/>
        </w:rPr>
      </w:pPr>
      <w:r>
        <w:rPr>
          <w:b/>
          <w:bCs/>
          <w:lang w:val="el" w:eastAsia="el"/>
        </w:rPr>
        <w:t>ΔΙΕΥΘΥΝΣΗ</w:t>
      </w:r>
      <w:r>
        <w:rPr>
          <w:rStyle w:val="Hyperlink"/>
          <w:b/>
          <w:bCs/>
          <w:color w:val="000000"/>
          <w:sz w:val="20"/>
          <w:szCs w:val="20"/>
          <w:u w:val="none" w:color="0000EE"/>
          <w:vertAlign w:val="superscript"/>
          <w:lang w:val="el" w:eastAsia="el"/>
        </w:rPr>
        <w:footnoteReference w:id="4"/>
      </w:r>
      <w:r>
        <w:rPr>
          <w:b/>
          <w:bCs/>
          <w:lang w:val="el" w:eastAsia="el"/>
        </w:rPr>
        <w:t>………………….………….…………………………………ΤΑΧ. ΚΩΔ. …………ΤΗΛ. ………………..…</w:t>
      </w:r>
    </w:p>
    <w:p>
      <w:pPr>
        <w:spacing w:before="240" w:after="240"/>
        <w:rPr>
          <w:lang w:val="el" w:eastAsia="el"/>
        </w:rPr>
      </w:pPr>
      <w:r>
        <w:rPr>
          <w:b/>
          <w:bCs/>
          <w:lang w:val="el" w:eastAsia="el"/>
        </w:rPr>
        <w:t>Α.Φ.Μ. …………………………………………………</w:t>
      </w:r>
    </w:p>
    <w:p>
      <w:pPr>
        <w:spacing w:before="240" w:after="240"/>
        <w:rPr>
          <w:lang w:val="el" w:eastAsia="el"/>
        </w:rPr>
      </w:pPr>
      <w:r>
        <w:rPr>
          <w:b/>
          <w:bCs/>
          <w:lang w:val="el" w:eastAsia="el"/>
        </w:rPr>
        <w:t xml:space="preserve">ΧΡΟΝΟΛΟΓΙΑ ΘΑΝΑΤΟΥ: ……………………………………. ΤΟΠΟΣ ΘΑΝΑΤΟΥ …………………………………… </w:t>
      </w:r>
      <w:r>
        <w:rPr>
          <w:rStyle w:val="Hyperlink"/>
          <w:b/>
          <w:bCs/>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 xml:space="preserve">ΤΡΟΠΟΣ ΕΠΑΓΩΓΗΣ ΚΛΗΡΟΝΟΜΙΑΣ </w:t>
      </w:r>
      <w:r>
        <w:rPr>
          <w:b/>
          <w:bCs/>
          <w:sz w:val="30"/>
          <w:szCs w:val="30"/>
          <w:vertAlign w:val="superscript"/>
          <w:lang w:val="el" w:eastAsia="el"/>
        </w:rPr>
        <w:t>(4)</w:t>
      </w:r>
      <w:r>
        <w:rPr>
          <w:b/>
          <w:bCs/>
          <w:lang w:val="el" w:eastAsia="el"/>
        </w:rPr>
        <w:t>………………………………………………………………………………</w:t>
      </w:r>
    </w:p>
    <w:p>
      <w:pPr>
        <w:spacing w:before="240" w:after="240"/>
        <w:rPr>
          <w:lang w:val="el" w:eastAsia="el"/>
        </w:rPr>
      </w:pPr>
      <w:r>
        <w:rPr>
          <w:b/>
          <w:bCs/>
          <w:u w:val="single"/>
          <w:lang w:val="el" w:eastAsia="el"/>
        </w:rPr>
        <w:t xml:space="preserve">ΣΤΟΙΧΕΙΑ ΥΠΟΧΡΕΟΥ (ΚΛΗΡΟΝΟΜΟΥ/ΔΩΡΕΟΔΟΧΟΥ/ΤΕΚΝΟΥ/ΠΡΟΙΚΟΛΗΠΤΗ/ΑΓΟΡΑΣΤΗ </w:t>
      </w:r>
      <w:r>
        <w:rPr>
          <w:b/>
          <w:bCs/>
          <w:sz w:val="30"/>
          <w:szCs w:val="30"/>
          <w:u w:val="single"/>
          <w:vertAlign w:val="superscript"/>
          <w:lang w:val="el" w:eastAsia="el"/>
        </w:rPr>
        <w:t>(1)</w:t>
      </w:r>
      <w:r>
        <w:rPr>
          <w:b/>
          <w:bCs/>
          <w:u w:val="single"/>
          <w:lang w:val="el" w:eastAsia="el"/>
        </w:rPr>
        <w:t>)</w:t>
      </w:r>
    </w:p>
    <w:p>
      <w:pPr>
        <w:spacing w:before="240" w:after="240"/>
        <w:rPr>
          <w:lang w:val="el" w:eastAsia="el"/>
        </w:rPr>
      </w:pPr>
      <w:r>
        <w:rPr>
          <w:b/>
          <w:bCs/>
          <w:lang w:val="el" w:eastAsia="el"/>
        </w:rPr>
        <w:t>ΕΠΩΝΥΜΟ……………………………………..………….ΟΝΟΜΑ…………………….. ΟΝΟΜΑ ΠΑΤΕΡΑ………………. ΕΠΩΝΥΜΙΑ</w:t>
      </w:r>
      <w:r>
        <w:rPr>
          <w:b/>
          <w:bCs/>
          <w:sz w:val="30"/>
          <w:szCs w:val="30"/>
          <w:vertAlign w:val="superscript"/>
          <w:lang w:val="el" w:eastAsia="el"/>
        </w:rPr>
        <w:t>(2)</w:t>
      </w:r>
      <w:r>
        <w:rPr>
          <w:b/>
          <w:bCs/>
          <w:lang w:val="el" w:eastAsia="el"/>
        </w:rPr>
        <w:t>………………………………………………………………………………..………………………………………….</w:t>
      </w:r>
    </w:p>
    <w:p>
      <w:pPr>
        <w:spacing w:before="240" w:after="240"/>
        <w:rPr>
          <w:lang w:val="el" w:eastAsia="el"/>
        </w:rPr>
      </w:pPr>
      <w:r>
        <w:rPr>
          <w:b/>
          <w:bCs/>
          <w:lang w:val="el" w:eastAsia="el"/>
        </w:rPr>
        <w:t>ΔΙΕΥΘΥΝΣΗ ……………………………………………………………….ΤΑΧ. ΚΩΔ…………….. ΤΗΛ. …………………………</w:t>
      </w:r>
    </w:p>
    <w:p>
      <w:pPr>
        <w:spacing w:before="240" w:after="240"/>
        <w:rPr>
          <w:lang w:val="el" w:eastAsia="el"/>
        </w:rPr>
      </w:pPr>
      <w:r>
        <w:rPr>
          <w:b/>
          <w:bCs/>
          <w:lang w:val="el" w:eastAsia="el"/>
        </w:rPr>
        <w:t>Α.Φ.Μ.:………………………………………………………………………………………</w:t>
      </w:r>
    </w:p>
    <w:p>
      <w:pPr>
        <w:spacing w:before="240" w:after="240"/>
        <w:rPr>
          <w:lang w:val="el" w:eastAsia="el"/>
        </w:rPr>
      </w:pPr>
      <w:r>
        <w:rPr>
          <w:b/>
          <w:bCs/>
          <w:lang w:val="el" w:eastAsia="el"/>
        </w:rPr>
        <w:t>ΣΥΓΓΕΝΕΙΑ( με θανόντα ή δωρητή):</w:t>
      </w:r>
    </w:p>
    <w:p>
      <w:pPr>
        <w:spacing w:before="240" w:after="240"/>
        <w:rPr>
          <w:lang w:val="el" w:eastAsia="el"/>
        </w:rPr>
      </w:pPr>
      <w:r>
        <w:rPr>
          <w:b/>
          <w:bCs/>
          <w:lang w:val="el" w:eastAsia="el"/>
        </w:rPr>
        <w:t xml:space="preserve">ΣΤΟΙΧΕΙΑ ΣΥΜΒΟΛΑΙΟΥ </w:t>
      </w:r>
      <w:r>
        <w:rPr>
          <w:rStyle w:val="Hyperlink"/>
          <w:b/>
          <w:bCs/>
          <w:color w:val="000000"/>
          <w:sz w:val="20"/>
          <w:szCs w:val="20"/>
          <w:u w:val="none" w:color="0000EE"/>
          <w:vertAlign w:val="superscript"/>
          <w:lang w:val="el" w:eastAsia="el"/>
        </w:rPr>
        <w:footnoteReference w:id="6"/>
      </w:r>
    </w:p>
    <w:p>
      <w:pPr>
        <w:spacing w:before="240" w:after="240"/>
        <w:rPr>
          <w:lang w:val="el" w:eastAsia="el"/>
        </w:rPr>
      </w:pPr>
      <w:r>
        <w:rPr>
          <w:b/>
          <w:bCs/>
          <w:lang w:val="el" w:eastAsia="el"/>
        </w:rPr>
        <w:t xml:space="preserve">I </w:t>
      </w:r>
      <w:r>
        <w:rPr>
          <w:b/>
          <w:bCs/>
          <w:u w:val="single"/>
          <w:lang w:val="el" w:eastAsia="el"/>
        </w:rPr>
        <w:t>ΑΡΙΘΜΟΣ/ΧΡΟΝΟΛΟΓΙΑ ……………………………ΣΥΜΒΟΛΑΙΟΓΡΑΦΟΣ ………………….ΕΔΡΑ …………………..</w:t>
      </w:r>
    </w:p>
    <w:p>
      <w:pPr>
        <w:spacing w:before="240" w:after="240"/>
        <w:rPr>
          <w:lang w:val="el" w:eastAsia="el"/>
        </w:rPr>
      </w:pPr>
      <w:r>
        <w:rPr>
          <w:b/>
          <w:bCs/>
          <w:lang w:val="el" w:eastAsia="el"/>
        </w:rPr>
        <w:t xml:space="preserve">ΣΤΟΙΧΕΙΑ ΝΟΜΙΜΟΥ/ΦΟΡΟΛΟΓΙΚΟΥ ΕΚΠΡΟΣΩΠΟΥ/ΑΛΛΗΛΕΓΓΥΩΣ ΥΠΕΥΘΥΝΟΥ </w:t>
      </w:r>
      <w:r>
        <w:rPr>
          <w:b/>
          <w:bCs/>
          <w:sz w:val="30"/>
          <w:szCs w:val="30"/>
          <w:vertAlign w:val="superscript"/>
          <w:lang w:val="el" w:eastAsia="el"/>
        </w:rPr>
        <w:t>(1)</w:t>
      </w:r>
      <w:r>
        <w:rPr>
          <w:b/>
          <w:bCs/>
          <w:lang w:val="el" w:eastAsia="el"/>
        </w:rPr>
        <w:t>:</w:t>
      </w:r>
    </w:p>
    <w:p>
      <w:pPr>
        <w:spacing w:before="240" w:after="240"/>
        <w:rPr>
          <w:lang w:val="el" w:eastAsia="el"/>
        </w:rPr>
      </w:pPr>
      <w:r>
        <w:rPr>
          <w:b/>
          <w:bCs/>
          <w:lang w:val="el" w:eastAsia="el"/>
        </w:rPr>
        <w:t>ΕΠΩΝΥΜΟ ………………………ΟΝΟΜΑ ………………ΟΝΟΜΑ ΠΑΤΕΡΑ ………………………ΑΦΜ ……………….…...</w:t>
      </w:r>
    </w:p>
    <w:p>
      <w:pPr>
        <w:spacing w:before="240" w:after="240"/>
        <w:rPr>
          <w:lang w:val="el" w:eastAsia="el"/>
        </w:rPr>
      </w:pPr>
      <w:r>
        <w:rPr>
          <w:b/>
          <w:bCs/>
          <w:lang w:val="el" w:eastAsia="el"/>
        </w:rPr>
        <w:t>ΔΙΕΥΘΥΝΣΗ ………………………………ΤΑΧ. ΚΩΔ……………..Δ.Ο.Υ.:………………………… ΑΔΤ …………………</w:t>
      </w:r>
    </w:p>
    <w:p>
      <w:pPr>
        <w:spacing w:before="240" w:after="240"/>
        <w:rPr>
          <w:lang w:val="el" w:eastAsia="el"/>
        </w:rPr>
      </w:pPr>
      <w:r>
        <w:rPr>
          <w:b/>
          <w:bCs/>
          <w:lang w:val="el" w:eastAsia="el"/>
        </w:rPr>
        <w:t>Έχοντας υπόψη:</w:t>
      </w:r>
    </w:p>
    <w:p>
      <w:pPr>
        <w:pStyle w:val="StructureList1"/>
        <w:spacing w:before="120" w:after="0"/>
        <w:rPr>
          <w:lang w:val="el" w:eastAsia="el"/>
        </w:rPr>
      </w:pPr>
      <w:r>
        <w:rPr>
          <w:b/>
          <w:bCs/>
          <w:lang w:val="el" w:eastAsia="el"/>
        </w:rPr>
        <w:t>α)</w:t>
      </w:r>
      <w:r>
        <w:rPr>
          <w:b/>
          <w:bCs/>
          <w:lang w:val="en" w:eastAsia="en"/>
        </w:rPr>
        <w:tab/>
      </w:r>
      <w:r>
        <w:rPr>
          <w:b/>
          <w:bCs/>
          <w:lang w:val="el" w:eastAsia="el"/>
        </w:rPr>
        <w:t>τον Κώδικα Διατάξεων Φορολογίας Κληρονομιών, Δωρεών, Γονικών Παροχών, Προικών και Κερδών από τυχερά παίγνια, ο οποίος κυρώθηκε με το πρώτο άρθρο του ν. 2961/2001,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τις διατάξεις περί φορολογίας μεταβίβασης ακινήτων του α.ν. 1521/1950, ο οποίος κυρώθηκε με το ν. 1587/1950 ,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τις διατάξεις των άρθρων </w:t>
      </w:r>
      <w:r>
        <w:rPr>
          <w:rStyle w:val="Hyperlink"/>
          <w:b/>
          <w:bCs/>
          <w:color w:val="000000"/>
          <w:sz w:val="20"/>
          <w:szCs w:val="20"/>
          <w:u w:val="none" w:color="0000EE"/>
          <w:vertAlign w:val="superscript"/>
          <w:lang w:val="el" w:eastAsia="el"/>
        </w:rPr>
        <w:footnoteReference w:id="7"/>
      </w:r>
      <w:r>
        <w:rPr>
          <w:b/>
          <w:bCs/>
          <w:lang w:val="el" w:eastAsia="el"/>
        </w:rPr>
        <w:t>……………………………………………………………………………..……………………………………………………, δ) τις διατάξεις του Κώδικα Φορολογικής Διαδικασίας (ν.4174/2013),</w:t>
      </w:r>
    </w:p>
    <w:p>
      <w:pPr>
        <w:pStyle w:val="StructureList1"/>
        <w:spacing w:before="120" w:after="0"/>
        <w:rPr>
          <w:lang w:val="el" w:eastAsia="el"/>
        </w:rPr>
      </w:pPr>
      <w:r>
        <w:rPr>
          <w:b/>
          <w:bCs/>
          <w:lang w:val="el" w:eastAsia="el"/>
        </w:rPr>
        <w:t>ε)</w:t>
      </w:r>
      <w:r>
        <w:rPr>
          <w:b/>
          <w:bCs/>
          <w:lang w:val="en" w:eastAsia="en"/>
        </w:rPr>
        <w:tab/>
      </w:r>
      <w:r>
        <w:rPr>
          <w:b/>
          <w:bCs/>
          <w:lang w:val="el" w:eastAsia="el"/>
        </w:rPr>
        <w:t>τη με αριθμό Δ6Α 1036682ΕΞ2014/25.2.2014 απόφαση του Γενικού Γραμματέα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τη με αριθμό…………/………/20… εντολή ελέγχου………………………………………………………………………………, ζ) τις απόψεις του υπόχρεου, που διατυπώθηκαν εγγράφως,</w:t>
      </w:r>
    </w:p>
    <w:p>
      <w:pPr>
        <w:pStyle w:val="StructureList1"/>
        <w:spacing w:before="120" w:after="0"/>
        <w:rPr>
          <w:lang w:val="el" w:eastAsia="el"/>
        </w:rPr>
      </w:pPr>
      <w:r>
        <w:rPr>
          <w:b/>
          <w:bCs/>
          <w:lang w:val="el" w:eastAsia="el"/>
        </w:rPr>
        <w:t>η)</w:t>
      </w:r>
      <w:r>
        <w:rPr>
          <w:b/>
          <w:bCs/>
          <w:lang w:val="en" w:eastAsia="en"/>
        </w:rPr>
        <w:tab/>
      </w:r>
      <w:r>
        <w:rPr>
          <w:b/>
          <w:bCs/>
          <w:lang w:val="el" w:eastAsia="el"/>
        </w:rPr>
        <w:t>την από……/…/………….έκθεση ελέγχου τ… ελεγκτ………………………………………………………………….., που επισυνάπτεται στην παρούσα,</w:t>
      </w:r>
    </w:p>
    <w:p>
      <w:pPr>
        <w:pStyle w:val="StructureList1"/>
        <w:spacing w:before="120" w:after="0"/>
        <w:rPr>
          <w:lang w:val="el" w:eastAsia="el"/>
        </w:rPr>
      </w:pPr>
      <w:r>
        <w:rPr>
          <w:b/>
          <w:bCs/>
          <w:lang w:val="el" w:eastAsia="el"/>
        </w:rPr>
        <w:t>θ)</w:t>
      </w:r>
      <w:r>
        <w:rPr>
          <w:b/>
          <w:bCs/>
          <w:lang w:val="en" w:eastAsia="en"/>
        </w:rPr>
        <w:tab/>
      </w:r>
      <w:r>
        <w:rPr>
          <w:b/>
          <w:bCs/>
          <w:lang w:val="el" w:eastAsia="el"/>
        </w:rPr>
        <w:t xml:space="preserve">το γεγονός ότι ο υπόχρεος υπέβαλε ανακριβείς/δεν υπέβαλε δηλώσεις/υπέβαλε τροποποιητική δήλωση/(άλλο) </w:t>
      </w:r>
      <w:r>
        <w:rPr>
          <w:b/>
          <w:bCs/>
          <w:sz w:val="30"/>
          <w:szCs w:val="30"/>
          <w:vertAlign w:val="superscript"/>
          <w:lang w:val="el" w:eastAsia="el"/>
        </w:rPr>
        <w:t>(1)</w:t>
      </w:r>
    </w:p>
    <w:p>
      <w:pPr>
        <w:spacing w:before="240" w:after="240"/>
        <w:rPr>
          <w:lang w:val="el" w:eastAsia="el"/>
        </w:rPr>
      </w:pPr>
      <w:r>
        <w:rPr>
          <w:b/>
          <w:bCs/>
          <w:lang w:val="el" w:eastAsia="el"/>
        </w:rPr>
        <w:t>προβαίνουμε στην έκδοση της πράξης αυτής με τις ακόλουθες πληροφορίες:</w:t>
      </w:r>
    </w:p>
    <w:p>
      <w:pPr>
        <w:spacing w:before="240" w:after="240"/>
        <w:rPr>
          <w:lang w:val="el" w:eastAsia="el"/>
        </w:rPr>
      </w:pPr>
      <w:r>
        <w:rPr>
          <w:b/>
          <w:bCs/>
          <w:lang w:val="el" w:eastAsia="el"/>
        </w:rPr>
        <w:t>ΠΛΗΡΟΦΟΡΙΑΚΑ ΣΤΟΙΧΕΙΑ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20"/>
        <w:gridCol w:w="1665"/>
        <w:gridCol w:w="15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 ΔΗΛΩΣΗΣ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 ΕΛΕΓΧΟΥ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ΠΕΡΙΓΡΑΦΗ ΑΝΤΙΚΕΙΜΕΝΩΝ ΦΟΡΟΛΟΓΙΑΣ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ΑΠΑΛΛΑΓΕΣ βάσει των διατάξεων του ν.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Γ.ΧΡΕΗ ΚΑΙ ΒΑΡΗ </w:t>
            </w:r>
            <w:r>
              <w:rPr>
                <w:rStyle w:val="Hyperlink"/>
                <w:b w:val="0"/>
                <w:bCs w:val="0"/>
                <w:i w:val="0"/>
                <w:iCs w:val="0"/>
                <w:smallCaps w:val="0"/>
                <w:color w:val="000000"/>
                <w:sz w:val="20"/>
                <w:szCs w:val="20"/>
                <w:u w:val="none" w:color="0000EE"/>
                <w:vertAlign w:val="superscript"/>
                <w:lang w:val="el" w:eastAsia="el"/>
              </w:rPr>
              <w:footnoteReference w:id="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Δ. ΑΞΙΑ ΛΟΙΠΩΝ ΔΗΛΩΣΕΩΝ, που δεν αποτελούν αντικείμενο του παρόντος έλεγχου αλλά λαμβάνονται υπόψη για τον υπολογισμό του φόρου </w:t>
            </w:r>
            <w:r>
              <w:rPr>
                <w:b/>
                <w:bCs/>
                <w:i w:val="0"/>
                <w:iCs w:val="0"/>
                <w:smallCaps w:val="0"/>
                <w:color w:val="000000"/>
                <w:sz w:val="30"/>
                <w:szCs w:val="30"/>
                <w:vertAlign w:val="superscript"/>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 ΦΟΡΟΛΟΓΗΤΕΑ ΑΞΙΑ </w:t>
            </w:r>
            <w:r>
              <w:rPr>
                <w:b/>
                <w:bCs/>
                <w:i w:val="0"/>
                <w:iCs w:val="0"/>
                <w:smallCaps w:val="0"/>
                <w:color w:val="000000"/>
                <w:sz w:val="30"/>
                <w:szCs w:val="30"/>
                <w:vertAlign w:val="superscript"/>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ΣΤ. ΠΡΟΓΕΝΕΣΤΕΡΕΣ ΔΩΡΕΕΣ-ΓΟΝΙΚΕΣ ΠΑΡΟΧΕΣ </w:t>
            </w:r>
            <w:r>
              <w:rPr>
                <w:b/>
                <w:bCs/>
                <w:i w:val="0"/>
                <w:iCs w:val="0"/>
                <w:smallCaps w:val="0"/>
                <w:color w:val="000000"/>
                <w:sz w:val="30"/>
                <w:szCs w:val="30"/>
                <w:vertAlign w:val="superscript"/>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ΣΥΝΟΛΙΚΗ ΦΟΡΟΛΟΓΗΤΕΑ ΑΞΙΑ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ΠΡΟΣΔΙΟΡΙΣΜΟΣ ΦΟΡΟΥ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ΥΠΟΛΟΓΙΣΜΟΣ ΑΝΑΛΟΓΟΥΝΤΟΣ ΦΟΡΟΥ βάσει των διατάξεων του 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2. ΦΟΡΟΣ ΠΟΥ ΕΧΕΙ ΒΕΒΑΙΩΘΕΙ </w:t>
            </w:r>
            <w:r>
              <w:rPr>
                <w:rStyle w:val="Hyperlink"/>
                <w:b w:val="0"/>
                <w:bCs w:val="0"/>
                <w:i w:val="0"/>
                <w:iCs w:val="0"/>
                <w:smallCaps w:val="0"/>
                <w:color w:val="000000"/>
                <w:sz w:val="20"/>
                <w:szCs w:val="20"/>
                <w:u w:val="none" w:color="0000EE"/>
                <w:vertAlign w:val="superscript"/>
                <w:lang w:val="el" w:eastAsia="el"/>
              </w:rPr>
              <w:footnoteReference w:id="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ΟΦΕΙΛΟΜΕΝΗ ΔΙΑΦΟΡΑ ΦΟΡΟΥ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ΤΟΚΟΙ/ΠΡΟΣΤΙΜΑ Ή ΠΡΟΣΘΕΤΟΙ ΦΟΡΟΙ/ΑΛΛΟ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ΓΙΑ ΚΑΤΑΒΟΛΗ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Ο οφειλόμενος φόρος καταβάλλεται εντός τριάντα (30) ημερών από την κοινοποίηση της παρούσας πράξης, σε πιστωτικά ιδρύματα ή στα ΕΛ.ΤΑ., με χρήση κωδικού πληρωμής.</w:t>
      </w:r>
    </w:p>
    <w:p>
      <w:pPr>
        <w:spacing w:before="240" w:after="240"/>
        <w:rPr>
          <w:lang w:val="el" w:eastAsia="el"/>
        </w:rPr>
      </w:pPr>
      <w:r>
        <w:rPr>
          <w:b/>
          <w:bCs/>
          <w:lang w:val="el" w:eastAsia="el"/>
        </w:rPr>
        <w:t>…………………… ………../…../……20</w:t>
      </w:r>
    </w:p>
    <w:p>
      <w:pPr>
        <w:spacing w:before="240" w:after="240"/>
        <w:rPr>
          <w:lang w:val="el" w:eastAsia="el"/>
        </w:rPr>
      </w:pPr>
      <w:r>
        <w:rPr>
          <w:b/>
          <w:bCs/>
          <w:lang w:val="el" w:eastAsia="el"/>
        </w:rPr>
        <w:t>Ο ΠΡΟΪΣΤΑΜΕΝΟΣ</w:t>
      </w:r>
    </w:p>
    <w:p>
      <w:pPr>
        <w:spacing w:before="240" w:after="240"/>
        <w:rPr>
          <w:lang w:val="el" w:eastAsia="el"/>
        </w:rPr>
      </w:pPr>
      <w:r>
        <w:rPr>
          <w:b/>
          <w:bCs/>
          <w:lang w:val="el" w:eastAsia="el"/>
        </w:rPr>
        <w:t>Επιδόθηκε την …………………………………………..….</w:t>
      </w:r>
    </w:p>
    <w:p>
      <w:pPr>
        <w:spacing w:before="240" w:after="240"/>
        <w:rPr>
          <w:lang w:val="el" w:eastAsia="el"/>
        </w:rPr>
      </w:pPr>
      <w:r>
        <w:rPr>
          <w:b/>
          <w:bCs/>
          <w:lang w:val="el" w:eastAsia="el"/>
        </w:rPr>
        <w:t>Ο ΕΠΙΔΟΣΑΣ Ο ΠΑΡΑΛΑΒΩΝ</w:t>
      </w:r>
    </w:p>
    <w:p>
      <w:pPr>
        <w:spacing w:before="240" w:after="240"/>
        <w:rPr>
          <w:lang w:val="el" w:eastAsia="el"/>
        </w:rPr>
      </w:pPr>
      <w:r>
        <w:rPr>
          <w:b/>
          <w:bCs/>
          <w:u w:val="single"/>
          <w:lang w:val="el" w:eastAsia="el"/>
        </w:rPr>
        <w:t xml:space="preserve">Σημείωση </w:t>
      </w:r>
      <w:r>
        <w:rPr>
          <w:b/>
          <w:bCs/>
          <w:u w:val="single"/>
          <w:lang w:val="el" w:eastAsia="el"/>
        </w:rPr>
        <w:t xml:space="preserve">1 </w:t>
      </w:r>
      <w:r>
        <w:rPr>
          <w:b/>
          <w:bCs/>
          <w:lang w:val="el" w:eastAsia="el"/>
        </w:rPr>
        <w:t>: Σε περίπτωση αμφισβήτησης της οριστικής καταλογιστικής πράξης, κατά τις διατάξεις του άρθρου 63 του ΚΦΔ, ο υπόχρεος οφείλει να υποβάλει εντός τριάντα (30) ημερών από την κοινοποίηση αυτής, ενδικοφανή προσφυγή, με αίτημα την επανεξέταση της πράξης, στο πλαίσιο διοικητικής διαδικασίας από τη Διεύθυνση Επίλυσης Διαφορών της Γ.Γ.Δ.Ε. Απευθείας προσφυγή στα Διοικητικά Δικαστήρια κατά της πράξης είναι απαράδεκτη. Η αίτηση υποβάλλεται στη φορολογική αρχή που εξέδωσε την πράξη και αναφέρει τους λόγους και τα έγγραφα στα οποία βασίζεται το αίτημα επανεξέτασης.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Διαγράφεται κατά περίπτωση</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Συμπληρώνεται σε περίπτωση νομικού προσώπου, νομικής οντότητας κ.λπ.</w:t>
      </w:r>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Για κληρονομούμενο συμπληρώνεται η διεύθυνση κατοικίας του εν ζωή</w:t>
      </w:r>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Συμπληρώνεται, εφόσον πρόκειται για κληρονομιά</w:t>
      </w:r>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Συμπληρώνεται, εφόσον συντάσσεται συμβολαιογραφικό έγγραφο</w:t>
      </w:r>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Συμπληρώνονται οι σχετικές διατάξεις που προβλέπουν την επιβολή πρόσθετου φόρου, προστίμου κ.λπ.</w:t>
      </w:r>
    </w:p>
  </w:footnote>
  <w:footnote w:id="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Δεν συμπληρώνεται, εφόσον πρόκειται για υπόθεση φ.μ.α.</w:t>
      </w:r>
    </w:p>
  </w:footnote>
  <w:footnote w:id="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 xml:space="preserve">Αφορά μόνο τον κύριο φόρο (και όχι πρόσθετους φόρους και πρόστιμα βάσει προγενέστερων του ΚΦΔ νόμων); </w:t>
      </w:r>
      <w:r>
        <w:rPr>
          <w:b/>
          <w:bCs/>
          <w:i w:val="0"/>
          <w:iCs w:val="0"/>
          <w:smallCaps w:val="0"/>
          <w:color w:val="000000"/>
          <w:lang w:val="el" w:eastAsia="el"/>
        </w:rPr>
        <w:t xml:space="preserve">(*) </w:t>
      </w:r>
      <w:r>
        <w:rPr>
          <w:b/>
          <w:bCs/>
          <w:i w:val="0"/>
          <w:iCs w:val="0"/>
          <w:smallCaps w:val="0"/>
          <w:color w:val="000000"/>
          <w:lang w:val="el" w:eastAsia="el"/>
        </w:rPr>
        <w:t>Στους πίνακες είναι δυνατή η προσθήκη γραμμών και στηλών κατά περίπτωση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d13.a@yo.syzefxis.gov.gr" TargetMode="External" /><Relationship Id="rId6" Type="http://schemas.openxmlformats.org/officeDocument/2006/relationships/hyperlink" Target="http://www.publicrevenu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