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50244/ΕΥΘΥ 1125</w:t>
      </w:r>
    </w:p>
    <w:p>
      <w:pPr>
        <w:pStyle w:val="PreambelText"/>
        <w:spacing w:before="240" w:after="240"/>
        <w:rPr>
          <w:lang w:val="el" w:eastAsia="el"/>
        </w:rPr>
      </w:pPr>
      <w:r>
        <w:rPr>
          <w:lang w:val="el" w:eastAsia="el"/>
        </w:rPr>
        <w:t>Ρυθμίσεις για τη χρηματοδότηση του μη επιλέξιμου ΦΠΑ σε συγχρηματοδοτούμενες πράξεις των επιχειρησιακών προγραμμάτων του ΕΣΠΑ (Αντικατάσταση κοινής υπουργικής απόφασης 26931/ΕΥΘΥ 580 (ΦΕΚ 1968/Β/2012).</w:t>
      </w:r>
    </w:p>
    <w:p>
      <w:pPr>
        <w:pStyle w:val="enacting"/>
        <w:spacing w:before="120" w:after="0"/>
        <w:rPr>
          <w:lang w:val="el" w:eastAsia="el"/>
        </w:rPr>
      </w:pPr>
      <w:r>
        <w:rPr>
          <w:b/>
          <w:bCs/>
          <w:lang w:val="el" w:eastAsia="el"/>
        </w:rPr>
        <w:t xml:space="preserve">ΟΙ ΥΠΟΥΡΓΟΙ ΟΙΚΟΝΟΜΙΚΩΝ </w:t>
      </w:r>
      <w:r>
        <w:rPr>
          <w:lang w:val="el" w:eastAsia="el"/>
        </w:rPr>
        <w:br/>
      </w:r>
      <w:r>
        <w:rPr>
          <w:b/>
          <w:bCs/>
          <w:lang w:val="el" w:eastAsia="el"/>
        </w:rPr>
        <w:t>-ΑΝΑΠΤΥΞΗΣ ΚΑΙ ΑΝΤΑΓΩΝΙΣΤΙΚΟΤΗΤΑΣ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98/Α’/2005), 2. το Π.Δ. 89/2014 (ΦΕΚ Α’ 134) Διορισμός Υπουργών, Αναπληρωτών Υπουργών και Υφυπουργών,</w:t>
      </w:r>
    </w:p>
    <w:p>
      <w:pPr>
        <w:pStyle w:val="PreambelText"/>
        <w:spacing w:before="240" w:after="240"/>
        <w:rPr>
          <w:lang w:val="el" w:eastAsia="el"/>
        </w:rPr>
      </w:pPr>
      <w:r>
        <w:rPr>
          <w:lang w:val="el" w:eastAsia="el"/>
        </w:rPr>
        <w:t>3. το Π.Δ. 118/2013 (ΦΕΚ Α’ 152) «Τροποποίηση του Π.Δ. 85/2012 (Α’ 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w:t>
      </w:r>
    </w:p>
    <w:p>
      <w:pPr>
        <w:pStyle w:val="PreambelText"/>
        <w:spacing w:before="240" w:after="240"/>
        <w:rPr>
          <w:lang w:val="el" w:eastAsia="el"/>
        </w:rPr>
      </w:pPr>
      <w:r>
        <w:rPr>
          <w:lang w:val="el" w:eastAsia="el"/>
        </w:rPr>
        <w:t>4. το Π.Δ. 117/2012 (ΦΕΚ Α’ 202) «Σύσταση, συγχώνευση και μετονομασία Γενικών Γραμματειών του Υπουργείου Ανάπτυξης, Ανταγωνιστικότητας, Υποδομών, Μεταφορών και Δικτύων»,</w:t>
      </w:r>
    </w:p>
    <w:p>
      <w:pPr>
        <w:pStyle w:val="PreambelText"/>
        <w:spacing w:before="240" w:after="240"/>
        <w:rPr>
          <w:lang w:val="el" w:eastAsia="el"/>
        </w:rPr>
      </w:pPr>
      <w:r>
        <w:rPr>
          <w:lang w:val="el" w:eastAsia="el"/>
        </w:rPr>
        <w:t>5. το Π.Δ. 189/2009 (ΦΕΚ 221/Α’/5-11-2009) «Περί καθορισμού και ανακατανομής αρμοδιοτήτων των Υπουργείων», όπως έχει τροποποιηθεί και ισχύει,</w:t>
      </w:r>
    </w:p>
    <w:p>
      <w:pPr>
        <w:pStyle w:val="PreambelText"/>
        <w:spacing w:before="240" w:after="240"/>
        <w:rPr>
          <w:lang w:val="el" w:eastAsia="el"/>
        </w:rPr>
      </w:pPr>
      <w:r>
        <w:rPr>
          <w:lang w:val="el" w:eastAsia="el"/>
        </w:rPr>
        <w:t>6. το Π.Δ. 65/2011 (ΦΕΚ 147 Α’)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w:t>
      </w:r>
    </w:p>
    <w:p>
      <w:pPr>
        <w:pStyle w:val="PreambelText"/>
        <w:spacing w:before="240" w:after="240"/>
        <w:rPr>
          <w:lang w:val="el" w:eastAsia="el"/>
        </w:rPr>
      </w:pPr>
      <w:r>
        <w:rPr>
          <w:lang w:val="el" w:eastAsia="el"/>
        </w:rPr>
        <w:t>7. το Ν. 3614/2007 (ΦΕΚ Α’/2007) και ειδικότερα το άρθρο 25 αυτού, όπως τροποποιήθηκε και ισχύει,</w:t>
      </w:r>
    </w:p>
    <w:p>
      <w:pPr>
        <w:pStyle w:val="PreambelText"/>
        <w:spacing w:before="240" w:after="240"/>
        <w:rPr>
          <w:lang w:val="el" w:eastAsia="el"/>
        </w:rPr>
      </w:pPr>
      <w:r>
        <w:rPr>
          <w:lang w:val="el" w:eastAsia="el"/>
        </w:rPr>
        <w:t>8. το Ν. 2957/1954 «Περί Δημοσίων Επενδύσεων και συμπληρώσεως των σχετικών προς τούτας διατάξεων του Δημοσίου Λογιστικού», όπως τροποποιήθηκε και ισχύει,</w:t>
      </w:r>
    </w:p>
    <w:p>
      <w:pPr>
        <w:pStyle w:val="PreambelText"/>
        <w:spacing w:before="240" w:after="240"/>
        <w:rPr>
          <w:lang w:val="el" w:eastAsia="el"/>
        </w:rPr>
      </w:pPr>
      <w:r>
        <w:rPr>
          <w:lang w:val="el" w:eastAsia="el"/>
        </w:rPr>
        <w:t>9. το Ν. 4072/2012 (ΦΕΚ 86/Α/11-4-2012), άρθρο 242, παρ. 3,</w:t>
      </w:r>
    </w:p>
    <w:p>
      <w:pPr>
        <w:pStyle w:val="PreambelText"/>
        <w:spacing w:before="240" w:after="240"/>
        <w:rPr>
          <w:lang w:val="el" w:eastAsia="el"/>
        </w:rPr>
      </w:pPr>
      <w:r>
        <w:rPr>
          <w:lang w:val="el" w:eastAsia="el"/>
        </w:rPr>
        <w:t>10. την κοινή υπουργική απόφαση 26931/ΕΥΘΥ 580 (ΦΕΚ 1968/Β/2012), όπως τροποποιήθηκε με την την κοινή υπουργική απόφαση 15362/ΕΥΘΥ 272 (ΦΕΚ 930/Β’/2013),</w:t>
      </w:r>
    </w:p>
    <w:p>
      <w:pPr>
        <w:pStyle w:val="PreambelText"/>
        <w:spacing w:before="240" w:after="240"/>
        <w:rPr>
          <w:lang w:val="el" w:eastAsia="el"/>
        </w:rPr>
      </w:pPr>
      <w:r>
        <w:rPr>
          <w:lang w:val="el" w:eastAsia="el"/>
        </w:rPr>
        <w:t>11. το Ν. 4281/2014 (ΦΕΚ 160/Α’/2014) και ειδικότερα την παρ. 10 του άρθρου 1,</w:t>
      </w:r>
    </w:p>
    <w:p>
      <w:pPr>
        <w:pStyle w:val="PreambelText"/>
        <w:spacing w:before="240" w:after="240"/>
        <w:rPr>
          <w:lang w:val="el" w:eastAsia="el"/>
        </w:rPr>
      </w:pPr>
      <w:r>
        <w:rPr>
          <w:lang w:val="el" w:eastAsia="el"/>
        </w:rPr>
        <w:t>12. το άρθρο 4 της με αριθμό 34658/4.7.2014 υπουργική απόφαση (ΦΕΚ Β’ 1825/4.7.2014) «Ανάθεση αρμοδιοτήτων στους Υφυπουργούς Ανάπτυξης και Ανταγωνιστικότητας»,</w:t>
      </w:r>
    </w:p>
    <w:p>
      <w:pPr>
        <w:pStyle w:val="PreambelText"/>
        <w:spacing w:before="240" w:after="240"/>
        <w:rPr>
          <w:lang w:val="el" w:eastAsia="el"/>
        </w:rPr>
      </w:pPr>
      <w:r>
        <w:rPr>
          <w:lang w:val="el" w:eastAsia="el"/>
        </w:rPr>
        <w:t>13. την με αριθμό ΥΠΟΙΚ 07927 ΕΞ/2012 (ΦΕΚ Β’ 2574/24.09.2012) υπουργική απόφαση «Ανάθεση αρμοδιοτήτων στον Υφυπουργό Οικονομικών Γεώργιο Μαυραγάνη»,</w:t>
      </w:r>
    </w:p>
    <w:p>
      <w:pPr>
        <w:pStyle w:val="PreambelText"/>
        <w:spacing w:before="240" w:after="240"/>
        <w:rPr>
          <w:lang w:val="el" w:eastAsia="el"/>
        </w:rPr>
      </w:pPr>
      <w:r>
        <w:rPr>
          <w:lang w:val="el" w:eastAsia="el"/>
        </w:rPr>
        <w:t>14. το γεγονός ότι από τις διατάξεις της παρούσας προκαλείται μείωση της δαπάνης σε βάρος του Κρατικού Προϋπολογισμού για τα έτη 2012 έως και 2015 ίση με 300 εκ. € σε βάρος του εθνικού σκέλους του ΠΔΕ, αποφασίζουμε:</w:t>
      </w:r>
    </w:p>
    <w:p>
      <w:pPr>
        <w:pStyle w:val="PreambelText"/>
        <w:spacing w:before="240" w:after="240"/>
        <w:rPr>
          <w:lang w:val="el" w:eastAsia="el"/>
        </w:rPr>
      </w:pPr>
      <w:r>
        <w:rPr>
          <w:lang w:val="el" w:eastAsia="el"/>
        </w:rPr>
        <w:t>Αντικαθιστούμε την κοινή υπουργική απόφαση 26931/ ΕΥΘΥ 580/2012 (ΦΕΚ 1968/Β’/2012), όπως τροποποιήθηκε με την την κοινή υπουργική απόφαση 15362/ΕΥΘΥ 272/2013 (ΦΕΚ 930/Β’/2013) για τις αναγκαίες λεπτομέρειες εφαρμογής της παρ. 11 του άρθρου 25 του Ν. 3614/2007 (ΦΕΚ 267/Α’/3-12-2007), «Διαχείριση, έλεγχος και εφαρμογή αναπτυξιακών παρεμβάσεων για την προγραμματική περίοδο 2007 -2013», όπως προστέθηκε με την παράγραφο 3 του άρθρου 242 του Ν. 4072/2012 (ΦΕΚ 86/Α’/11-4-2012), «Βελτίωση επιχειρηματικού περιβάλλοντος - Νέα εταιρική μορφή - Σήματα - Μεσίτες Ακινήτων - Ρύθμιση θεμάτων ναυτιλίας, λιμένων αλιείας και άλλες διατάξεις»,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Η παρούσα απόφαση αφορά σε:</w:t>
      </w:r>
    </w:p>
    <w:p>
      <w:pPr>
        <w:spacing w:before="240" w:after="240"/>
        <w:rPr>
          <w:lang w:val="el" w:eastAsia="el"/>
        </w:rPr>
      </w:pPr>
      <w:r>
        <w:rPr>
          <w:lang w:val="el" w:eastAsia="el"/>
        </w:rPr>
        <w:t>α. συγχρηματοδοτούμενες πράξεις προμηθειών και υπηρεσιών, πλην κρατικών ενισχύσεων, τις οποίες υλοποιούν ως δικαιούχοι το Δημόσιο, τα ΝΠΔΔ, οι ΟΤΑ, οι σύνδεσμοι και οι επιχειρήσεις των ΟΤΑ ή οι οποίες υλοποιούνται από άλλους φορείς για λογαριασμό τους και β. συγχρηματοδοτούμενες πράξεις προμηθειών και υπηρεσιών πλην κρατικών ενισχύσεων, τις οποίες υλοποιούν ως δικαιούχοι οι μη εισαγμένες στο χρηματιστήριο Ανώνυμες Εταιρίες του δημοσίου.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Χρηματοδότηση του μη επιλέξιμου ΦΠΑ</w:t>
      </w:r>
    </w:p>
    <w:p>
      <w:pPr>
        <w:pStyle w:val="MainText"/>
        <w:spacing w:before="120" w:after="0"/>
        <w:rPr>
          <w:lang w:val="el" w:eastAsia="el"/>
        </w:rPr>
      </w:pPr>
      <w:r>
        <w:rPr>
          <w:b/>
          <w:bCs/>
          <w:lang w:val="el" w:eastAsia="el"/>
        </w:rPr>
        <w:t>1.</w:t>
      </w:r>
      <w:r>
        <w:rPr>
          <w:lang w:val="el" w:eastAsia="el"/>
        </w:rPr>
        <w:t xml:space="preserve"> Η δαπάνη του μη επιλέξιμου ΦΠΑ, για τις συγχρηματοδοτούμενες πράξεις που υλοποιούν οι φορείς που αναφέρονται στην παράγραφο α του άρθρου 1 της παρούσας, χρηματοδοτείται από το Πρόγραμμα Δημοσίων Επενδύσεων (ΠΔΕ) ως μη επιλέξιμη δημόσια δαπάνη αναγκαία για το έργο, μετά από αίτημα του δικαιούχου.</w:t>
      </w:r>
    </w:p>
    <w:p>
      <w:pPr>
        <w:pStyle w:val="MainText"/>
        <w:spacing w:before="120" w:after="0"/>
        <w:rPr>
          <w:lang w:val="el" w:eastAsia="el"/>
        </w:rPr>
      </w:pPr>
      <w:r>
        <w:rPr>
          <w:b/>
          <w:bCs/>
          <w:lang w:val="el" w:eastAsia="el"/>
        </w:rPr>
        <w:t>2.</w:t>
      </w:r>
      <w:r>
        <w:rPr>
          <w:lang w:val="el" w:eastAsia="el"/>
        </w:rPr>
        <w:t xml:space="preserve"> Η δαπάνη του μη επιλέξιμου ΦΠΑ ή μέρος αυτής, για τις συγχρηματοδοτούμενες πράξεις που υλοποιούν οι φορείς της παραγράφου β του άρθρου 1 της παρούσας, δύναται να χρηματοδοτείται ως μη επιλέξιμη δημόσια δαπάνη αναγκαία για το έργο με βάση τους υφιστάμενους δημοσιονομικούς περιορισμούς και προσδιορίζεται στην απόφαση ένταξης των συγχρηματοδοτούμενων πράξεων από την αρμόδια αρχή διαχείρισης (ΔΑ/ΕΦΔ/ ΕΔΑ). Για το σκοπό αυτό η αρμόδια υπηρεσία του φορέα χρηματοδότησης αποστέλλει σχετικό έγγραφο προς την αρχή διαχείρισης και στη Δ/νση Δημοσίων Επενδύσεων του Υπουργείου Ανάπτυξης Ανταγωνιστικότητας, μετά από αίτημα του φορέα, στο οποίο τεκμηριώνεται ότι οι υφιστάμενες ταμειακές ροές δεν επιτρέπουν την ομαλή χρηματοδότηση της συγχρηματοδοτούμενης πράξης.</w:t>
      </w:r>
    </w:p>
    <w:p>
      <w:pPr>
        <w:pStyle w:val="MainText"/>
        <w:spacing w:before="120" w:after="0"/>
        <w:rPr>
          <w:lang w:val="el" w:eastAsia="el"/>
        </w:rPr>
      </w:pPr>
      <w:r>
        <w:rPr>
          <w:b/>
          <w:bCs/>
          <w:lang w:val="el" w:eastAsia="el"/>
        </w:rPr>
        <w:t>3.</w:t>
      </w:r>
      <w:r>
        <w:rPr>
          <w:lang w:val="el" w:eastAsia="el"/>
        </w:rPr>
        <w:t xml:space="preserve"> Η χρηματοδότηση από το ΠΔΕ του μη επιλέξιμου ΦΠΑ στις ανωτέρω περιπτώσεις και η υποχρέωση εκκαθάρισης και επιστροφής του, αποτελεί όρο χρηματοδότησης της πράξης και περιλαμβάνεται στην απόφαση ένταξης και στο σύμφωνο αποδοχής όρων.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Εκκαθάριση της μη επιλέξιμης δαπάνης του ΦΠΑτων συγχρηματοδοτούμενων πράξεων,που ανακτάται (επιστρέφεται ή συμψηφίζεται)</w:t>
      </w:r>
    </w:p>
    <w:p>
      <w:pPr>
        <w:pStyle w:val="MainText"/>
        <w:spacing w:before="120" w:after="0"/>
        <w:rPr>
          <w:lang w:val="el" w:eastAsia="el"/>
        </w:rPr>
      </w:pPr>
      <w:r>
        <w:rPr>
          <w:b/>
          <w:bCs/>
          <w:lang w:val="el" w:eastAsia="el"/>
        </w:rPr>
        <w:t>1.</w:t>
      </w:r>
      <w:r>
        <w:rPr>
          <w:lang w:val="el" w:eastAsia="el"/>
        </w:rPr>
        <w:t xml:space="preserve"> Το ποσό του ΦΠΑ που έχει χρηματοδοτηθεί κατά την περίοδο υλοποίησης των συγχρηματοδοτούμενων πράξεων από το ΠΔΕ και στη συνέχεια ανακτάται (συμψηφίζεται ή επιστρέφεται από την αρμόδια Δ.Ο.Υ., σύμφωνα με τις κείμενες περί ΦΠΑ διατάξεις), αποτελεί οφειλή προς το δημόσιο. Η οφειλή αυτή εκκαθαρίζεται κατά την ολοκλήρωση της συγχρηματοδοτούμενης πράξης.</w:t>
      </w:r>
    </w:p>
    <w:p>
      <w:pPr>
        <w:pStyle w:val="MainText"/>
        <w:spacing w:before="120" w:after="0"/>
        <w:rPr>
          <w:lang w:val="el" w:eastAsia="el"/>
        </w:rPr>
      </w:pPr>
      <w:r>
        <w:rPr>
          <w:b/>
          <w:bCs/>
          <w:lang w:val="el" w:eastAsia="el"/>
        </w:rPr>
        <w:t>2.</w:t>
      </w:r>
      <w:r>
        <w:rPr>
          <w:lang w:val="el" w:eastAsia="el"/>
        </w:rPr>
        <w:t xml:space="preserve"> Ο δικαιούχος υποχρεούται με το κλείσιμο κάθε ετήσιας οικονομικής χρήσης και μέχρι 31 Ιανουαρίου του επόμενου οικονομικού έτους να καταθέτει το ποσό του ΦΠΑ της συγχρηματοδοτούμενης πράξης, που έχει μέχρι τότε ανακτήσει (με συμψηφισμό ή αίτημα επιστροφής από τη Δ.Ο.Υ.) στο λογαριασμό «Αδιάθετα υπόλοιπα παρελθόντων οικονομικών ετών νομικών προσώπων», που τηρείται στην Τράπεζα της Ελλάδος.</w:t>
      </w:r>
    </w:p>
    <w:p>
      <w:pPr>
        <w:pStyle w:val="MainText"/>
        <w:spacing w:before="120" w:after="0"/>
        <w:rPr>
          <w:lang w:val="el" w:eastAsia="el"/>
        </w:rPr>
      </w:pPr>
      <w:r>
        <w:rPr>
          <w:b/>
          <w:bCs/>
          <w:lang w:val="el" w:eastAsia="el"/>
        </w:rPr>
        <w:t>3.</w:t>
      </w:r>
      <w:r>
        <w:rPr>
          <w:lang w:val="el" w:eastAsia="el"/>
        </w:rPr>
        <w:t xml:space="preserve"> Ο προσδιορισμός του προς κατάθεση, ανακτηθέντος από το φορέα, ποσού ΦΠΑ σε ετήσια βάση, υπολογίζεται με βάση την τελευταία Περιοδική Δήλωση ΦΠΑ του έτους ως ακολούθως:</w:t>
      </w:r>
    </w:p>
    <w:p>
      <w:pPr>
        <w:spacing w:before="240" w:after="240"/>
        <w:rPr>
          <w:lang w:val="el" w:eastAsia="el"/>
        </w:rPr>
      </w:pPr>
      <w:r>
        <w:rPr>
          <w:lang w:val="el" w:eastAsia="el"/>
        </w:rPr>
        <w:t>i. Εάν από την τελευταία Περιοδική Δήλωση ΦΠΑ της περιόδου αναφοράς προκύπτει χρεωστικό ή μηδενικό υπόλοιπο, ο δικαιούχος έχει ανακτήσει το σύνολο του χρηματοδοτηθέντος ΦΠΑ της περιόδου αναφοράς.</w:t>
      </w:r>
    </w:p>
    <w:p>
      <w:pPr>
        <w:spacing w:before="240" w:after="240"/>
        <w:rPr>
          <w:lang w:val="el" w:eastAsia="el"/>
        </w:rPr>
      </w:pPr>
      <w:r>
        <w:rPr>
          <w:lang w:val="el" w:eastAsia="el"/>
        </w:rPr>
        <w:t>ii. Εάν από την τελευταία Περιοδική Δήλωση ΦΠΑ προκύπτει πιστωτικό υπόλοιπο μεγαλύτερο ή ίσο προς το ύψος της χρηματοδότησης του μη επιλέξιμου ΦΠΑ, ο δικαιούχος του έργου δεν έχει ανακτήσει κανένα μέρος του χρηματοδοτηθέντος ΦΠΑ.</w:t>
      </w:r>
    </w:p>
    <w:p>
      <w:pPr>
        <w:spacing w:before="240" w:after="240"/>
        <w:rPr>
          <w:lang w:val="el" w:eastAsia="el"/>
        </w:rPr>
      </w:pPr>
      <w:r>
        <w:rPr>
          <w:lang w:val="el" w:eastAsia="el"/>
        </w:rPr>
        <w:t>iii. Εάν από την τελευταία Περιοδική Δήλωση ΦΠΑ προκύπτει πιστωτικό υπόλοιπο μικρότερο από το ύψος της χρηματοδότησης του μη επιλέξιμου ΦΠΑ, ο δικαιούχος έχει ανακτήσει το ποσό που προκύπτει από την αφαίρεση [(συνολική χρηματοδότηση μη επιλέξιμου ΦΠΑ) - (πιστωτικό υπόλοιπο τελευταίας περιοδικής δήλωσης ΦΠΑ)].</w:t>
      </w:r>
    </w:p>
    <w:p>
      <w:pPr>
        <w:pStyle w:val="MainText"/>
        <w:spacing w:before="120" w:after="0"/>
        <w:rPr>
          <w:lang w:val="el" w:eastAsia="el"/>
        </w:rPr>
      </w:pPr>
      <w:r>
        <w:rPr>
          <w:b/>
          <w:bCs/>
          <w:lang w:val="el" w:eastAsia="el"/>
        </w:rPr>
        <w:t>4.</w:t>
      </w:r>
      <w:r>
        <w:rPr>
          <w:lang w:val="el" w:eastAsia="el"/>
        </w:rPr>
        <w:t xml:space="preserve"> Τα ποσά του ΦΠΑ των τιμολογίων της συγχρηματοδοτούμενης πράξης, που χρηματοδοτήθηκαν από το ΠΔΕ και τα οποία δεν έχουν επιστραφεί από το δικαιούχο σύμφωνα με τις παραγράφους 2 και 3, εκκαθαρίζονται μετά την εξόφληση του τελικού λογαριασμού του αναδόχου κατά την έκδοση της απόφασης ολοκλήρωσης της πράξης.</w:t>
      </w:r>
    </w:p>
    <w:p>
      <w:pPr>
        <w:pStyle w:val="MainText"/>
        <w:spacing w:before="120" w:after="0"/>
        <w:rPr>
          <w:lang w:val="el" w:eastAsia="el"/>
        </w:rPr>
      </w:pPr>
      <w:r>
        <w:rPr>
          <w:b/>
          <w:bCs/>
          <w:lang w:val="el" w:eastAsia="el"/>
        </w:rPr>
        <w:t>5.</w:t>
      </w:r>
      <w:r>
        <w:rPr>
          <w:lang w:val="el" w:eastAsia="el"/>
        </w:rPr>
        <w:t xml:space="preserve"> Ο δικαιούχος, με την υποβολή της έκθεσης ολοκλήρωσης της πράξης, συνυποβάλλει στην αρμόδια αρχή διαχείρισης και κοινοποιεί στην αρμόδια για την παρακολούθηση των Συλλογικών Αποφάσεων Έργων υπηρεσία του φορέα χρηματοδότησης (κατά περίπτωση οικονομική ή άλλη οριζόμενη αρμόδια υπηρεσία Υπουργείου ή Διεύθυνση Αναπτυξιακού Προγραμματισμού της Περιφέρειας) την τελευταία περιοδική του δήλωση ΦΠΑ που έχει υποβάλλει στην αρμόδια ΔΟΥ όπου υπάγεται και στην οποία εμφανίζεται το χρεωστικό ή πιστωτικό του υπόλοιπο. Επίσης υποβάλλει τις τελευταίες περιοδικές δηλώσεις ΦΠΑ για καθένα από τα προηγούμενα έτη (από το 2012 και μετά).</w:t>
      </w:r>
    </w:p>
    <w:p>
      <w:pPr>
        <w:pStyle w:val="MainText"/>
        <w:spacing w:before="120" w:after="0"/>
        <w:rPr>
          <w:lang w:val="el" w:eastAsia="el"/>
        </w:rPr>
      </w:pPr>
      <w:r>
        <w:rPr>
          <w:b/>
          <w:bCs/>
          <w:lang w:val="el" w:eastAsia="el"/>
        </w:rPr>
        <w:t>6.</w:t>
      </w:r>
      <w:r>
        <w:rPr>
          <w:lang w:val="el" w:eastAsia="el"/>
        </w:rPr>
        <w:t xml:space="preserve"> Η αρμόδια αρχή διαχείρισης εκδίδει την απόφαση ολοκλήρωσης της πράξης, με βάση τα στοιχεία της παραγράφου 5 και το/α αποδεικτικό/ά κατάθεσης των ετησίως ανακτηθέντων ποσών. Με βάση τα στοιχεία αυτά προσδιορίζει στην απόφαση:</w:t>
      </w:r>
    </w:p>
    <w:p>
      <w:pPr>
        <w:spacing w:before="240" w:after="240"/>
        <w:rPr>
          <w:lang w:val="el" w:eastAsia="el"/>
        </w:rPr>
      </w:pPr>
      <w:r>
        <w:rPr>
          <w:lang w:val="el" w:eastAsia="el"/>
        </w:rPr>
        <w:t>Οφειλή 1: Το ύψος του υπολοίπου ανακτηθέντος ΦΠΑ του φορέα για το τελευταίο (μη ολοκληρωθέν) έτος, που υπολογίζεται κατ’ αναλογία με την παράγραφο 3 έχοντας υπ’ όψη την τελευταία περιοδική δήλωση ΦΠΑ. Στο ποσό της οφειλής αυτής συνυπολογίζονται τα μη επιστραφέντα ποσά προηγούμενων ετών της παραγράφου 2 και τυχόν τόκοι από την καθυστερημένη επιστροφή τους.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Στην απόφαση καθορίζεται ότι το ποσό της οφειλής αυτής πρέπει να καταβληθεί μέσα σε ένα μήνα από την παραλαβή της απόφασης ολοκλήρωσης.</w:t>
      </w:r>
    </w:p>
    <w:p>
      <w:pPr>
        <w:spacing w:before="240" w:after="240"/>
        <w:rPr>
          <w:lang w:val="el" w:eastAsia="el"/>
        </w:rPr>
      </w:pPr>
      <w:r>
        <w:rPr>
          <w:lang w:val="el" w:eastAsia="el"/>
        </w:rPr>
        <w:t>Οφειλή 2: Το ποσό αυτό αποτελεί το υπόλοιπο του συνολικού χρηματοδοτηθέντος ποσού ΦΠΑ μετά την αφαίρεση του ήδη ανακτηθέντος. Στην απόφαση καθορίζεται ότι το ποσό της οφειλής αυτής πρέπει να καταβληθεί μέσα σε ένα έτος από την παραλαβή της απόφασης ολοκλήρωσης.</w:t>
      </w:r>
    </w:p>
    <w:p>
      <w:pPr>
        <w:pStyle w:val="MainText"/>
        <w:spacing w:before="120" w:after="0"/>
        <w:rPr>
          <w:lang w:val="el" w:eastAsia="el"/>
        </w:rPr>
      </w:pPr>
      <w:r>
        <w:rPr>
          <w:b/>
          <w:bCs/>
          <w:lang w:val="el" w:eastAsia="el"/>
        </w:rPr>
        <w:t>7.</w:t>
      </w:r>
      <w:r>
        <w:rPr>
          <w:lang w:val="el" w:eastAsia="el"/>
        </w:rPr>
        <w:t xml:space="preserve"> Η απόφαση ολοκλήρωσης αυτή, ως προς τα ανωτέρω υπόλοιπα οφειλής, αποτελεί τίτλο είσπραξης του </w:t>
      </w:r>
    </w:p>
    <w:p>
      <w:pPr>
        <w:spacing w:before="240" w:after="240"/>
        <w:rPr>
          <w:lang w:val="el" w:eastAsia="el"/>
        </w:rPr>
      </w:pPr>
      <w:r>
        <w:rPr>
          <w:lang w:val="el" w:eastAsia="el"/>
        </w:rPr>
        <w:t>Δημοσίου. Τα προς επιστροφή ποσά (οφειλές) κατατίθενται στο λογαριασμό «Αδιάθετα υπόλοιπα παρελθόντων οικονομικών ετών νομικών προσώπων», που τηρείται στην Τράπεζα της Ελλάδος. Η απόφαση κοινοποιείται στην αρμόδια (οικονομική) υπηρεσία του φορέα χρηματοδότησης του έργου.</w:t>
      </w:r>
    </w:p>
    <w:p>
      <w:pPr>
        <w:pStyle w:val="MainText"/>
        <w:spacing w:before="120" w:after="0"/>
        <w:rPr>
          <w:lang w:val="el" w:eastAsia="el"/>
        </w:rPr>
      </w:pPr>
      <w:r>
        <w:rPr>
          <w:b/>
          <w:bCs/>
          <w:lang w:val="el" w:eastAsia="el"/>
        </w:rPr>
        <w:t>8.</w:t>
      </w:r>
      <w:r>
        <w:rPr>
          <w:lang w:val="el" w:eastAsia="el"/>
        </w:rPr>
        <w:t xml:space="preserve"> Ο υπόχρεος φορέας οφείλει να κοινοποιήσει άμεσα στην αρχή διαχείρισης και στην αρμόδια υπηρεσία του φορέα χρηματοδότησης το αποδεικτικό κατάθεσης του κάθε οφειλόμενου ποσού. Εφόσον δεν καταβληθούν τα οφειλόμενα ποσά από τον δικαιούχο εντός των προκαθορισμένων προθεσμιών, η αρμόδια ΔΑ/ΕΦΔ/ΕΔΑ σε συνεργασία με την αρμόδια υπηρεσία του φορέα χρηματοδότησης βεβαιώνει το χρέος και συντάσσει χρηματικό κατάλογο που τον αποστέλλει στην αρμόδια ΔΟΥ προς είσπραξη και τον κοινοποιεί στη Δ/νση Δημοσίων Επενδύσεων του Υπουργείου Ανάπτυξης και Ανταγωνιστικότητας. Η είσπραξη της οφειλής πραγματοποιείται σύμφωνα με τα προβλεπόμενα στον Κώδικα Είσπραξης Δημοσίων Εσόδων (ΚΕΔΕ).</w:t>
      </w:r>
    </w:p>
    <w:p>
      <w:pPr>
        <w:pStyle w:val="MainText"/>
        <w:spacing w:before="120" w:after="0"/>
        <w:rPr>
          <w:lang w:val="el" w:eastAsia="el"/>
        </w:rPr>
      </w:pPr>
      <w:r>
        <w:rPr>
          <w:b/>
          <w:bCs/>
          <w:lang w:val="el" w:eastAsia="el"/>
        </w:rPr>
        <w:t>9.</w:t>
      </w:r>
      <w:r>
        <w:rPr>
          <w:lang w:val="el" w:eastAsia="el"/>
        </w:rPr>
        <w:t xml:space="preserve"> Εάν ο δικαιούχος υλοποιεί με Προγραμματική Σύμβαση το έργο για λογαριασμό άλλου φορέα (κυρίου του έργου) τότε, εφόσον τα τιμολόγια έχουν εκδοθεί στο όνομα του φορέα υλοποίησης, δεν υποχρεούται να υποβληθεί στην ανωτέρω προσδιορισθείσα διαδικασία εκκαθάρισης του χρηματοδοτηθέντος ΦΠΑ, δεδομένου ότι δεν δικαιούται ανάκτησης ΦΠΑ για τα τιμολόγια αυτά ούτε ο δικαιούχος – φορέας υλοποίησης ούτε ο κύριος του έργου. Εάν τα τιμολόγια έχουν εκδοθεί στον κύριο του έργου τότε στη διαδικασία εκκαθάρισης υπάγεται ο κύριος του έργου.</w:t>
      </w:r>
    </w:p>
    <w:p>
      <w:pPr>
        <w:pStyle w:val="MainText"/>
        <w:spacing w:before="120" w:after="0"/>
        <w:rPr>
          <w:lang w:val="el" w:eastAsia="el"/>
        </w:rPr>
      </w:pPr>
      <w:r>
        <w:rPr>
          <w:b/>
          <w:bCs/>
          <w:lang w:val="el" w:eastAsia="el"/>
        </w:rPr>
        <w:t>10.</w:t>
      </w:r>
      <w:r>
        <w:rPr>
          <w:lang w:val="el" w:eastAsia="el"/>
        </w:rPr>
        <w:t xml:space="preserve"> Η ανωτέρω διαδικασία εκκαθάρισης πραγματοποιείται και για τις περιπτώσεις δικαιούχων έργων της παραγράφου β του άρθρου 1 της παρούσας, για τις οποίες έχει χρηματοδοτηθεί από εθνικούς πόρους του Προγράμματος Δημοσίων Επενδύσεων από την 1.1.2011 και μετά μέρος ή το σύνολο του μη επιλέξιμου ΦΠΑ.</w:t>
      </w:r>
    </w:p>
    <w:p>
      <w:pPr>
        <w:pStyle w:val="MainText"/>
        <w:spacing w:before="120" w:after="0"/>
        <w:rPr>
          <w:lang w:val="el" w:eastAsia="el"/>
        </w:rPr>
      </w:pPr>
      <w:r>
        <w:rPr>
          <w:b/>
          <w:bCs/>
          <w:lang w:val="el" w:eastAsia="el"/>
        </w:rPr>
        <w:t>11.</w:t>
      </w:r>
      <w:r>
        <w:rPr>
          <w:lang w:val="el" w:eastAsia="el"/>
        </w:rPr>
        <w:t xml:space="preserve"> Δικαιούχοι που λαμβάνουν χρηματοδότηση για το μη επιλέξιμο ΦΠΑ με την κοινή υπουργική απόφαση 26931/ΕΥΘΥ 580 (ΦΕΚ 1968/Β’/2012), όπως τροποποιήθηκε με την κοινή υπουργική απόφαση 15362/ΕΥΘΥ 272 (ΦΕΚ 930/Β’/2013), υποχρεούνται στην επιστροφή της χρηματοδότησης αυτής σύμφωνα με τις διατάξεις του παρόντος άρθρου.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Οκτωβρίου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ΟΙΚΟΝΟΜΙΚΩΝ ΑΝΑΠΤΥΞΗΣ ΚΑΙ ΑΝΤΑΓΩΝΙΣΤΙΚΟΤΗΤΑΣ</w:t>
      </w:r>
    </w:p>
    <w:p>
      <w:pPr>
        <w:spacing w:before="240" w:after="240"/>
        <w:rPr>
          <w:lang w:val="el" w:eastAsia="el"/>
        </w:rPr>
      </w:pPr>
      <w:r>
        <w:rPr>
          <w:b/>
          <w:bCs/>
          <w:lang w:val="el" w:eastAsia="el"/>
        </w:rPr>
        <w:t>ΓΚΙΚΑΣ ΧΑΡΔΟΥΒΕΛΗΣ ΟΔΥΣΣΕΑΣ ΚΩΝΣΤΑΝΤΙΝΟΠΟΥΛΟΣ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