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EΞ. </w:t>
      </w:r>
      <w:r>
        <w:rPr>
          <w:b/>
          <w:bCs/>
          <w:u w:val="single"/>
          <w:lang w:val="el" w:eastAsia="el"/>
        </w:rPr>
        <w:t>ΕΠΕΙΓΟΝ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ΑΡΙΘ. ΦΕΚ: </w:t>
      </w:r>
      <w:r>
        <w:rPr>
          <w:lang w:val="el" w:eastAsia="el"/>
        </w:rPr>
        <w:t>3087 Β΄/17-11-2014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ΤΗΣ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ΦΟΡΟΛΟΓΙΚΗΣ ΠΟΛΙΤΙΚΗΣ &amp; ΝΟΜΟΘΕΣΙΑΣ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ΥΠΟΔΙΕΥΘΥΝΣΗ Γ΄ ΦΟΡΟΛΟΓΙΑΣ ΚΕΦΑΛΑΙΟΥ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Α΄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ΦΟΡΟΛΟΓΙΑΣ ΑΚΙΝΗΤΗΣ ΠΕΡΙΟΥΣΙΑΣ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ΠΟΛ.: 1239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Συμπλήρωση και τροποποίηση της ΠΟΛ.1047/2014 Απόφασης του Γενικού Γραμματέα Δημοσίων Εσόδων «Καθορισμός οργάνου της Φορολογικής Διοίκησης για την αποδοχή και εκκαθάριση εκπρόθεσμων τροποποιητικών δηλώσεων φόρου ακίνητης περιουσίας (ΦΑΠ) φυσικών προσώπων, και ορισμός διαδικασίας</w:t>
      </w:r>
      <w:r>
        <w:rPr>
          <w:b/>
          <w:bCs/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27 έως και 50 του ν. 3842/2010 (ΦΕΚ 58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4174/2013 (ΦΕΚ 170 Α΄) και ειδικότερα των άρθρων 4, 5, 6, 18, 19, 23, 32, 34, 37, 63 &amp; 66.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Πράξη 20/25-6-2014 του Υπουργικού Συμβουλίου (ΦΕΚ 360 ΥΟΔΔ), περί επιλογής και διορισμού Γενικού Γραμματέα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αριθ. Δ6Α 1036682 ΕΞ 2014/25-2-2014 (478 Β΄) απόφαση του Γενικού Γραμματέα Δημοσίων Εσόδων του Υπουργείου περί μεταβίβασης αρμοδιοτήτων και εξουσιοδότησης υπογραφής «Με εντολή Γενικού Γραμματέα Δημοσίων Εσόδων» σε όργανα της Φορολογικής Διοίκησης,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ΠΟΛ.1047/2014 (ΦΕΚ 368 Β΄) «Καθορισμός οργάνου της Φορολογικής Διοίκησης για την αποδοχή και εκκαθάριση εκπρόθεσμων τροποποιητικών δηλώσεων φόρου ακίνητης περιουσίας (ΦΑΠ) φυσικών προσώπων και ορισμός διαδικασίας.».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>Η απόφαση του Γενικού Γραμματέα Δημοσίων Εσόδων ΠΟΛ.1047/2014 (ΦΕΚ 368 Β΄) «Καθορισμός οργάνου της Φορολογικής Διοίκησης για την αποδοχή και εκκαθάριση εκπρόθεσμων τροποποιητικών δηλώσεων φόρου ακίνητης περιουσίας (ΦΑΠ) φυσικών προσώπων, και ορισμός διαδικασίας.» τροποποιείται και συμπληρώνεται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Στην παράγραφο 1 του άρθρου 1 διαγράφεται η φράση «καθώς και σε όλες τις περιπτώσεις υποβολής εκπρόθεσμης τροποποιητικής δήλωσης ΦΑΠ έτους 2010».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Στο δεύτερο εδάφιο της παραγράφου 2 του άρθρου 2 διαγράφεται η φράση «, με την οποία κοινοποιείται ταυτόχρονα και η οικεία έκθεση ελέγχου».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Στο άρθρο 6, μετά τις λέξεις «ελέγχου» προστίθεται η φράση «, όπου απαιτείται,».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Μετά το άρθρο 7 προστίθεται άρθρο 8 ως εξής και το άρθρο 8 αναριθμείται σε άρθρο 9: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</w:t>
      </w:r>
      <w:r>
        <w:rPr>
          <w:b/>
          <w:bCs/>
          <w:lang w:val="el" w:eastAsia="el"/>
        </w:rPr>
        <w:t>Άρθρο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οριζόμενα στην απόφαση αυτή εφαρμόζονται ανάλογα και στις εκπρόθεσμες τροποποιητικές δηλώσεις φόρου ακίνητης περιουσίας (ΦΑΠ) φυσικών προσώπων έτους 2010.»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ΑΜΕΣΗ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ΕΝΕΡΓΕΙΑ (ΜΕΤΑ ΤΗ ΔΗΜΟΣΙΕΥΣΗ ΣΤΗΝ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ΕΦΗΜΕΡΙΔΑ ΤΗΣ ΚΥΒΕΡΝΗΣΕΩΣ)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(περιπτώσεις 1 και 7)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(περιπτώσεις 2,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Β΄(περιπτώσεις 3, 4, 5 και 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Ζ΄ (περιπτώσεις 1,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Η΄ (περιπτώσεις 1, 2, 3, 5 έως και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Ι΄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IV.ΕΣΩΤΕΡΙΚΗ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Διευθύνσεις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Δ/νση Εφαρμογής της Φορολογικής Πολιτικής και Νομοθεσίας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-Υποδιεύθυνση (Γ΄) Φορολογίας Κεφαλαίου – Τμήματα Α΄ (30) Β΄ (4)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