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ΠΟΛ.1229/20.11.2014 (ΟΡΘΗ ΕΠΑΝΑΛΗΨΗ)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Τροποποίηση διατάξεων των Α.Υ.Ο. ΠΟΛ. 1075/13−3−1995 και ΠΟΛ. 1155/6−6−1995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20/11/2014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(ΦΕΚ Β' 3329/11-12-2014)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ΟΡΘΗ ΕΠΑΝΑΛΗΨΗ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Ως προς την παρ. 1 περ. γ΄ στα “Έχοντας υπόψη”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ΕΦΑΡΜΟΓΗΣ ΤΗΣ ΦΟΡΟΛΟΓΙΚΗΣ ΠΟΛΙΤΙΚΗΣ ΚΑΙ ΝΟΜΟΘΕΣΙΑΣ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ΥΠΟΔΙΕΥΘΥΝΣΗ Β΄ -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- Φ.Π.Α.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Αντώνιος Α. Σανιδάς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210- 3645615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Τηλεομοιότ : 210- 3645413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Ηλ. Ταχ/μείο : asanidas@1992.syzefxis.gov.gr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 1229/2014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Τροποποίηση διατάξεων των Α.Υ.Ο. ΠΟΛ. 1075/13.3.1995 και ΠΟΛ. 1155/6.6.1995.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κάτωθι διατάξεις του Ν. 2859/2000 «Κύρωση Κώδικα Φόρου Προστιθέμενης Αξίας» (ΦΕΚ 248 Α΄), όπως ισχύει: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20,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23,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24, παρ. 1, περ. ζ΄ και παρ. 2,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28, παρ. 1 περ. α΄, γ΄, δ΄ και 2,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άρθρου 60,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της παραγράφου 3 του άρθρου 64.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2, 3 και 66 παρ. 27 του Ν. 4174/2013 (Φ.Ε.Κ. 170/26−7−2013 τ.Α΄) «Κώδικας Φορολογικής Διαδικασίας»,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υποπαραγράφου Ε2 της παραγράφου Ε΄ του Ν. 4093/2012 (ΦΕΚ Α΄ 222) περί σύστασης θέσης Γενικού Γραμματέα Δημοσίων Εσόδων, όπως τροποποιήθηκε με το Ν. 4141/2013 (Φ.Ε.Κ. 81 Α΄) και συμπληρώθηκε με το Ν. 4152/2013 (Φ.Ε.Κ. 107 Α΄).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Πράξη του Υπουργικού Συμβουλίου αρ. 20 της 25.6.2014 (τ.Υ.Ο.Δ.Δ. 360/25−6−2014) «Επιλογή και διορισμός Γενικού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παρ. 42 της αριθμ. πρωτ. Δ6Α 1196756 ΕΞ 2013/23.12.2013 (Φ.Ε.Κ. 3317/27−12−2013 τ.Β΄) απόφασης του Υπουργού Οικονομικών και Υφυπουργού Οικονομικών με την οποία συμπληρώθηκε η αριθμ. Δ6Α 1015213 ΕΞ 2013/28.1.2013 (Φ.Ε.Κ. 130/28−1−2013 τ.Β΄) απόφαση του Υπουργού Οικονομικών και του Υφυπουργού Οικονομικών «Μεταβίβαση αρμοδιοτήτων στον Γενικό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της Α.Υ.Ο. 1103551/8478/Α0014/ΠΟΛ.1262/2.8.1993 (Φ.Ε.Κ. 675/2−9−1993 τ.Β΄).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του άρθρου 3 της Α.Υ.Ο. 1017949/693/165/0014/ΠΟΛ.1075/13.3.1995 (Φ.Ε.Κ. 212/23−3−1995 τ.Β΄).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της Α.Υ.Ο. 1058757/2754/791/0014/ΠΟΛ.1155/6.6.1995 (Φ.Ε.Κ. 527/16−6−1995 τ.Β΄).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ανάγκη ενίσχυσης της εξαγωγικής δραστηριότητας επιχειρήσεων των οποίων η παραγωγική δραστηριότητα, λόγω της φύσεως της παραγωγής και των χρησιμοποιούμενων πρώτων υλών, δεν μπορεί να ολοκληρωθεί εντός του οριζομένου από τις προαναφερόμενες αποφάσεις χρονικό διάστημα.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Το γεγονός ότι, από τις διατάξεις της απόφασης αυτής, δεν προκαλείται δαπάνη σε βάρος του Κρατικού Προϋπολογισμού,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Καταργούνται οι διατάξεις του άρθρου 3 της Α.Υ.Ο. ΠΟΛ.1075/13.3.1995, όπως έχουν συμπληρωθεί με τις όμοιες του άρθρου 1 της Α.Υ.Ο. ΠΟΛ.1155/6.6.1995, οι οποίες θέτουν προθεσμία εξαγωγής ή ενδοκοινοτικής παράδοσης αγαθών τα οποία αποκτήθηκαν με απαλλαγή σύμφωνα με τη διαδικασία της Α.Υ.Ο. ΠΟΛ.1262/2.8.1993.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ισχύς της απόφασης αυτής ορίζεται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ΣΑΒΒΑΪΔΟΥ ΑΙΚΑΤΕΡΙΝΗ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Προϊστάμενος του Αυτοτελούς Τμήματος Διοίκησης 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Αφαίρεση ΠΟΛ. 1167/201524.08.2015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