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ΔΣΤΕΠ Γ 5028321 ΕΞ 2014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Καθιέρωση Ελέγχων Διαδικασίας.</w:t>
      </w:r>
      <w:r>
        <w:rPr>
          <w:lang w:val="el" w:eastAsia="el"/>
        </w:rPr>
        <w:br/>
      </w:r>
      <w:r>
        <w:rPr>
          <w:lang w:val="el" w:eastAsia="el"/>
        </w:rPr>
        <w:t>Η ΓΕΝΙΚΗ ΓΡΑΜΜΑΤΕΑΣΔΗΜΟΣΙΩΝ ΕΣΟΔΩΝ ΤΟΥ ΥΠΟΥΡΓΕΙΟΥ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4 παρ. 26, 13 παρ. 2, 61, 68, 71, 73,117 παρ. β, 133 παρ. β και 148 παρ. β του Καν. (ΕΟΚ) αριθ. 2913/92 «περί θεσπίσεως Κοινοτικού Τελωνειακού Κώδικα και των άρθρων 4στ, παρ. 1, 2, 222 έως 224, 239 έως 247 και επόμενα του Καν. (ΕΟΚ) 2454/93 «περί διατάξεων εφαρμογής του Κοινοτικού Τελωνειακού Κώδικα.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3 και 33 παράγραφος 3 σημείο β) του Εθνικού Τελωνειακού Κώδικα (Ν.2960/2001).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νόμου 4046/2012 (ΦΕΚ 28/14/02/2012) «Μνημόνιο Συνεννόησης για τη διάσωση της εθνικής οικονομίας».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81 έως 86 του Π.Δ. 111/2014 (ΦΕΚ 178/29-08-2014) «Οργανισμός του Υπουργείου Οικονομικών».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Δ33Δ 5036742ΕΞ2013/14-10-2013 (ΦΕΚ 2676/Β’/21-10-2013) Α.Υ.Ο, για τη «Διαχείριση αποτελεσμάτων Ανάλυσης κινδύνου του πληροφοριακού συστήματος τελωνείων (ΟΠΣΤ) και οποιουδήποτε Νέου ή διάδοχου Πληροφοριακού Συστήματος Τελωνείων, από τις τελωνειακές αρχές της χώρας - Τροποποίηση της ΑΥΟ Τ6507/8127/22.12.2000».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της ΔΣΤΕΠ Γ 5028321 ΕΞ 2014Δ19Α 5041533ΕΞ2013 Δ.Υ.Ο, για τη «Καθιέρωση πληροφορικού συστήματος ICISnet και ηλεκτρονικών συναλλαγών, σε πλήρη εφαρμογή».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αριθ. ΥΠΟΙΚ 07927 ΕΞ Απόφαση του Πρωθυπουργού και του Υπουργού Οικονομικών «Ανάθεση αρμοδιοτήτων στον Υφυπουργό Οικονομικών Γεώργιο Μαυραγάνη» (ΦΕΚ 2574/24-09-2012).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Την αριθ. Δ6Α 1015213ΕΞ2013 Απόφαση «Μεταβίβαση αρμοδιοτήτων στον Γενικό Γραμματέα της Γενικής Γραμματείας Δημοσίων Εσόδων του Υπουργείου Οικονομικών» (ΦΕΚ 130/28-01-2013),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Το γεγονός ότι από τις διατάξεις της παρούσας δεν προκαλείται δαπάνη σε βάρος του κρατικού προϋπολογισμού (άρθρο 90 του Π.Δ. 63/2005, ΦΕΚ 98/22-04-2005),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Καθιερώνονται «Έλεγχοι Διαδικασίας» στους οποίους υπόκεινται οι διασαφήσεις που υποβάλλονται στο πληροφοριακό σύστημα Τελωνειακών Ηλεκτρονικών Υπηρεσιών. Οι έλεγχοι αυτοί έχουν σκοπό να διασφαλίσουν: α’) την τήρηση των απαγορεύσεων - περιορισμών στη διακίνηση εμπορευμάτων που προβλέπονται από τις ισχύουσες κοινοτικές και εθνικές διατάξεις και β’) την επιτήρηση των καθεστώτων τελειοποίησης προς επανεξαγωγή, μεταποίησης υπό τελωνειακό έλεγχο και τελειοποίησης προς επανεισαγωγή.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α’) Οι διασαφήσεις που ελέγχονται για τη διασφάλιση των απαγορεύσεων -περιορισμών, αποτελούν υποσύνολο εκείνων που υποδεικνύονται από το πληροφοριακό σύστημα ως μεσαίας επικινδυνότητας και τους αποδίδεται συγκεκριμένος βαθμός.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β’) Οι διασαφήσεις που ελέγχονται για την επιτήρηση των καθεστώτων της παρ. 1β αποτελούν υποσύνολο εκείνων που υποδεικνύονται από το πληροφοριακό σύστημα ως υψηλής επικινδυνότητας και τους αποδίδεται συγκεκριμένος βαθμός.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Οι «Έλεγχοι Διαδικασίας» συνίστανται: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 διασφάλιση της τήρησης των απαγορεύσεωνπεριορισμών όσον αφορά στον έλεγχο της ύπαρξης του κατάλληλου πιστοποιητικού ή άδειας ή έγκρισης ή εγγράφων και στην επικύρωση τους, εφόσον απαιτείται.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στην επιτήρηση των ανωτέρω καθεστώτων όσον αφορά στη δειγματοληψία που διενεργείται στα πλαίσια των καθεστώτων αυτών.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Οι ως άνω έλεγχοι δεν προσμετρώνται στα ποσοστά των ελέγχων που πραγματοποιούνται, όπως αυτοί καθορίζονται με βάση τα κριτήρια ανάλυσης κινδύνου.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 Δεκεμβρίου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Γενική ΓραμματέαςΑΙΚΑΤΕΡΙΝΗ ΣΑΒΒΑΪΔΟΥF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