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ΠΟΛ.1002/31.12.2014</w:t>
      </w:r>
    </w:p>
    <w:p>
      <w:pPr>
        <w:pStyle w:val="Title"/>
        <w:spacing w:before="120" w:after="360"/>
        <w:rPr>
          <w:lang w:val="el" w:eastAsia="el"/>
        </w:rPr>
      </w:pPr>
      <w:r>
        <w:rPr>
          <w:lang w:val="el" w:eastAsia="el"/>
        </w:rPr>
        <w:t>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pStyle w:val="PreambelText"/>
        <w:spacing w:before="240" w:after="240"/>
        <w:rPr>
          <w:lang w:val="el" w:eastAsia="el"/>
        </w:rPr>
      </w:pPr>
      <w:r>
        <w:rPr>
          <w:lang w:val="el" w:eastAsia="el"/>
        </w:rPr>
        <w:t>Αθήνα, 31 Δεκεμβρίου 2014</w:t>
      </w:r>
    </w:p>
    <w:p>
      <w:pPr>
        <w:pStyle w:val="PreambelText"/>
        <w:spacing w:before="240" w:after="240"/>
        <w:rPr>
          <w:lang w:val="el" w:eastAsia="el"/>
        </w:rPr>
      </w:pPr>
      <w:r>
        <w:rPr>
          <w:lang w:val="el" w:eastAsia="el"/>
        </w:rPr>
        <w:t>(ΦΕΚ Β' 3/05-01-2015)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ΦΟΡΟΛΟΓΙΚΗΣ ΠΟΛΙΤΙΚΗΣ ΚΑΙ ΝΟΜΟΘΕΣΙΑΣ</w:t>
      </w:r>
    </w:p>
    <w:p>
      <w:pPr>
        <w:pStyle w:val="PreambelText"/>
        <w:spacing w:before="240" w:after="240"/>
        <w:rPr>
          <w:lang w:val="el" w:eastAsia="el"/>
        </w:rPr>
      </w:pPr>
      <w:r>
        <w:rPr>
          <w:lang w:val="el" w:eastAsia="el"/>
        </w:rPr>
        <w:t>ΑΥΤΟΤΕΛΕΣ ΤΜΗΜΑ Κ.Φ.Α.Σ.</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Κωδ. : 101 84 Αθήνα</w:t>
      </w:r>
    </w:p>
    <w:p>
      <w:pPr>
        <w:pStyle w:val="PreambelText"/>
        <w:spacing w:before="240" w:after="240"/>
        <w:rPr>
          <w:lang w:val="el" w:eastAsia="el"/>
        </w:rPr>
      </w:pPr>
      <w:r>
        <w:rPr>
          <w:lang w:val="el" w:eastAsia="el"/>
        </w:rPr>
        <w:t>Πληροφορίες :</w:t>
      </w:r>
    </w:p>
    <w:p>
      <w:pPr>
        <w:pStyle w:val="PreambelText"/>
        <w:spacing w:before="240" w:after="240"/>
        <w:rPr>
          <w:lang w:val="el" w:eastAsia="el"/>
        </w:rPr>
      </w:pPr>
      <w:r>
        <w:rPr>
          <w:lang w:val="el" w:eastAsia="el"/>
        </w:rPr>
        <w:t>Τηλέφωνο : 210-3638389</w:t>
      </w:r>
    </w:p>
    <w:p>
      <w:pPr>
        <w:pStyle w:val="PreambelText"/>
        <w:spacing w:before="240" w:after="240"/>
        <w:rPr>
          <w:lang w:val="el" w:eastAsia="el"/>
        </w:rPr>
      </w:pPr>
      <w:r>
        <w:rPr>
          <w:lang w:val="el" w:eastAsia="el"/>
        </w:rPr>
        <w:t>210-3627090</w:t>
      </w:r>
    </w:p>
    <w:p>
      <w:pPr>
        <w:pStyle w:val="PreambelText"/>
        <w:spacing w:before="240" w:after="240"/>
        <w:rPr>
          <w:lang w:val="el" w:eastAsia="el"/>
        </w:rPr>
      </w:pPr>
      <w:r>
        <w:rPr>
          <w:lang w:val="el" w:eastAsia="el"/>
        </w:rPr>
        <w:t>210-3610030</w:t>
      </w:r>
    </w:p>
    <w:p>
      <w:pPr>
        <w:pStyle w:val="PreambelText"/>
        <w:spacing w:before="240" w:after="240"/>
        <w:rPr>
          <w:lang w:val="el" w:eastAsia="el"/>
        </w:rPr>
      </w:pPr>
      <w:r>
        <w:rPr>
          <w:lang w:val="el" w:eastAsia="el"/>
        </w:rPr>
        <w:t>210-3610065</w:t>
      </w:r>
    </w:p>
    <w:p>
      <w:pPr>
        <w:pStyle w:val="PreambelText"/>
        <w:spacing w:before="240" w:after="240"/>
        <w:rPr>
          <w:lang w:val="el" w:eastAsia="el"/>
        </w:rPr>
      </w:pPr>
      <w:r>
        <w:rPr>
          <w:b/>
          <w:bCs/>
          <w:lang w:val="el" w:eastAsia="el"/>
        </w:rPr>
        <w:t>ΠΟΛ 1002/2014</w:t>
      </w:r>
    </w:p>
    <w:p>
      <w:pPr>
        <w:pStyle w:val="PreambelText"/>
        <w:spacing w:before="240" w:after="240"/>
        <w:rPr>
          <w:lang w:val="el" w:eastAsia="el"/>
        </w:rPr>
      </w:pPr>
      <w:r>
        <w:rPr>
          <w:b/>
          <w:bCs/>
          <w:lang w:val="el" w:eastAsia="el"/>
        </w:rPr>
        <w:t>ΘΕΜΑ: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Η ΓΕΝΙΚΗ ΓΡΑΜΜΑΤΕΑΣ ΔΗΜΟΣΙΩΝ ΕΣΟΔΩΝ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Τις διατάξεις των παραγράφων 3, 11 και 13 του άρθρου 12 του ν. 4308/2014 (ΦΕΚ 251 Α΄).</w:t>
      </w:r>
    </w:p>
    <w:p>
      <w:pPr>
        <w:pStyle w:val="PreambelText"/>
        <w:spacing w:before="240" w:after="240"/>
        <w:rPr>
          <w:lang w:val="el" w:eastAsia="el"/>
        </w:rPr>
      </w:pPr>
      <w:r>
        <w:rPr>
          <w:lang w:val="el" w:eastAsia="el"/>
        </w:rPr>
        <w:t>2. Το Π.Δ. 111/2014 (ΦΕΚ 178 Α΄) «Οργανισμός του Υπουργείου Οικονομικών».</w:t>
      </w:r>
    </w:p>
    <w:p>
      <w:pPr>
        <w:pStyle w:val="PreambelText"/>
        <w:spacing w:before="240" w:after="240"/>
        <w:rPr>
          <w:lang w:val="el" w:eastAsia="el"/>
        </w:rPr>
      </w:pPr>
      <w:r>
        <w:rPr>
          <w:lang w:val="el" w:eastAsia="el"/>
        </w:rPr>
        <w:t>3.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pStyle w:val="PreambelText"/>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έκδοση αποδείξεων λιανικών συναλλαγών, και τήρηση βιβλίων από συγκεκριμένες κατηγορίες οντοτήτων και ως εκ τούτου κρίνεται απαραίτητο να παρασχεθούν σ’ αυτές τις κατηγορίες, οι αναγκαίες διευκολύνσεις για την άσκηση της επαγγελματικής τους δραστηριότητας.</w:t>
      </w:r>
    </w:p>
    <w:p>
      <w:pPr>
        <w:pStyle w:val="PreambelText"/>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Ορίζουμε τις οντότητες που απαλλάσσονται από το τρέχον φορολογικό έτος και εφεξής, από τη χρήση ΦΗΜ (Φορολογικών Ηλεκτρονικών Μηχανισμών), καθώς και τις περιπτώσεις λιανικών συναλλαγών που απαλλάσσονται από την υποχρέωση έκδοσης των σχετικών παραστατικών (αποδείξεων) μέσω φορολογικού ηλεκτρονικού μηχανισμού, ως εξής: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Οι παρακάτω κατηγορίες οντοτήτων ανεξάρτητα από το μέγεθός τους, δύνανται να μη χρησιμοποιούν φορολογικό ηλεκτρονικό μηχανισμό, για την έκδοση των αποδείξεων λιανικών συναλλαγών:</w:t>
      </w:r>
    </w:p>
    <w:p>
      <w:pPr>
        <w:pStyle w:val="StructureList1"/>
        <w:spacing w:before="120" w:after="0"/>
        <w:rPr>
          <w:lang w:val="el" w:eastAsia="el"/>
        </w:rPr>
      </w:pPr>
      <w:r>
        <w:rPr>
          <w:lang w:val="el" w:eastAsia="el"/>
        </w:rPr>
        <w:t>α)</w:t>
      </w:r>
      <w:r>
        <w:rPr>
          <w:lang w:val="en" w:eastAsia="en"/>
        </w:rPr>
        <w:tab/>
      </w:r>
      <w:r>
        <w:rPr>
          <w:lang w:val="el" w:eastAsia="el"/>
        </w:rPr>
        <w:t>Ο εκμεταλλευτής κέντρων αισθητικής, γυμναστηρίων, χώρου διαμονής ή φιλοξενίας, εκπαιδευτηρίου, παιδικού σταθμού, κλινικής ή θεραπευτηρίου, καθώς και οι γιατροί και οδοντίατροι,</w:t>
      </w:r>
    </w:p>
    <w:p>
      <w:pPr>
        <w:pStyle w:val="StructureList1"/>
        <w:spacing w:before="120" w:after="0"/>
        <w:rPr>
          <w:lang w:val="el" w:eastAsia="el"/>
        </w:rPr>
      </w:pPr>
      <w:r>
        <w:rPr>
          <w:lang w:val="el" w:eastAsia="el"/>
        </w:rPr>
        <w:t>β)</w:t>
      </w:r>
      <w:r>
        <w:rPr>
          <w:lang w:val="en" w:eastAsia="en"/>
        </w:rPr>
        <w:tab/>
      </w:r>
      <w:r>
        <w:rPr>
          <w:lang w:val="el" w:eastAsia="el"/>
        </w:rPr>
        <w:t xml:space="preserve">Ο εκμεταλλευτής χώρων στάθμευσης,  </w:t>
      </w:r>
    </w:p>
    <w:p>
      <w:pPr>
        <w:pStyle w:val="StructureList1"/>
        <w:spacing w:before="120" w:after="0"/>
        <w:rPr>
          <w:lang w:val="el" w:eastAsia="el"/>
        </w:rPr>
      </w:pPr>
      <w:r>
        <w:rPr>
          <w:lang w:val="el" w:eastAsia="el"/>
        </w:rPr>
        <w:t>γ)</w:t>
      </w:r>
      <w:r>
        <w:rPr>
          <w:lang w:val="en" w:eastAsia="en"/>
        </w:rPr>
        <w:tab/>
      </w:r>
      <w:r>
        <w:rPr>
          <w:lang w:val="el" w:eastAsia="el"/>
        </w:rPr>
        <w:t xml:space="preserve">Ο εκμεταλλευτής θεαμάτων, ο πράκτορας κρατικών λαχείων, ΠΡΟ−ΠΟ, ΛΟΤΤΟ και συναφών, η επιχείρηση μεταφοράς προσώπων γενικά, με εξαίρεση τον εκμεταλλευτή ΤΑΞΙ,  </w:t>
      </w:r>
    </w:p>
    <w:p>
      <w:pPr>
        <w:pStyle w:val="StructureList1"/>
        <w:spacing w:before="120" w:after="0"/>
        <w:rPr>
          <w:lang w:val="el" w:eastAsia="el"/>
        </w:rPr>
      </w:pPr>
      <w:r>
        <w:rPr>
          <w:lang w:val="el" w:eastAsia="el"/>
        </w:rPr>
        <w:t>δ)</w:t>
      </w:r>
      <w:r>
        <w:rPr>
          <w:lang w:val="en" w:eastAsia="en"/>
        </w:rPr>
        <w:tab/>
      </w:r>
      <w:r>
        <w:rPr>
          <w:lang w:val="el" w:eastAsia="el"/>
        </w:rPr>
        <w:t xml:space="preserve">Ο κατά παραγγελία αυτοαπασχολούμενος (φυσικό πρόσωπο) ράπτης ή ράπτρια, που επιδιορθώνει ενδύματα και υφασμάτινα είδη, γενικώς, καθώς και ο εκμεταλλευτής ιαματικών πηγών του Ε.Ο.Τ.,  </w:t>
      </w:r>
    </w:p>
    <w:p>
      <w:pPr>
        <w:pStyle w:val="StructureList1"/>
        <w:spacing w:before="120" w:after="0"/>
        <w:rPr>
          <w:lang w:val="el" w:eastAsia="el"/>
        </w:rPr>
      </w:pPr>
      <w:r>
        <w:rPr>
          <w:lang w:val="el" w:eastAsia="el"/>
        </w:rPr>
        <w:t>ε)</w:t>
      </w:r>
      <w:r>
        <w:rPr>
          <w:lang w:val="en" w:eastAsia="en"/>
        </w:rPr>
        <w:tab/>
      </w:r>
      <w:r>
        <w:rPr>
          <w:lang w:val="el" w:eastAsia="el"/>
        </w:rPr>
        <w:t xml:space="preserve">Οι ασκούντες το επάγγελμα του κτηνιάτρου, φυσιοθεραπευτή, βιολόγου, ψυχολόγου, μαίας, δικηγόρου, συμβολαιογράφου, άμισθου υποθηκοφύλακα, δικαστικού επιμελητή, αρχιτέκτονα, μηχανικού, τοπογράφου, χημικού, γεωπόνου, γεωλόγου, δασολόγου, ωκεανογράφου, σχεδιαστή, δημοσιογράφου, συγγραφέα, διερμηνέα, ξεναγού, μεταφραστή, καθηγητή ή δασκάλου, καλλιτέχνη γλύπτη ή ζωγράφου ή σκιτσογράφου ή χαράκτη, ηθοποιού, εκτελεστή μουσικών έργων ή μουσουργού, καλλιτεχνών των κέντρων διασκέδασης, χορευτή, χορογράφου, σκηνοθέτη, σκηνογράφου, ενδυματολόγου, διακοσμητή, οικονομολόγου, αναλυτή, προγραμματιστή, ερευνητή ή συμβούλου επιχειρήσεων, λογιστή ή φοροτεχνικού, αναλογιστή, κοινωνιολόγου, κοινωνικού λειτουργού, εμπειρογνώμονα, ομοιοπαθητικού, εναλλακτικής θεραπείας, ψυχοθεραπευτή, λογοθεραπευτή, λογοπαθολόγου, λογοπεδικού, διαιτολόγου, διατροφολόγου και εργοθεραπευτή, </w:t>
      </w:r>
    </w:p>
    <w:p>
      <w:pPr>
        <w:pStyle w:val="StructureList1"/>
        <w:spacing w:before="120" w:after="0"/>
        <w:rPr>
          <w:lang w:val="el" w:eastAsia="el"/>
        </w:rPr>
      </w:pPr>
      <w:r>
        <w:rPr>
          <w:lang w:val="el" w:eastAsia="el"/>
        </w:rPr>
        <w:t>στ)</w:t>
      </w:r>
      <w:r>
        <w:rPr>
          <w:lang w:val="en" w:eastAsia="en"/>
        </w:rPr>
        <w:tab/>
      </w:r>
      <w:r>
        <w:rPr>
          <w:lang w:val="el" w:eastAsia="el"/>
        </w:rPr>
        <w:t xml:space="preserve">Ο εκμεταλλευτής γεωργικών μηχανημάτων ή ελαιουργείου ή αλευρομύλου για τις δικαιούμενες αμοιβές από την παροχή των σχετικών υπηρεσιών, </w:t>
      </w:r>
    </w:p>
    <w:p>
      <w:pPr>
        <w:pStyle w:val="StructureList1"/>
        <w:spacing w:before="120" w:after="0"/>
        <w:rPr>
          <w:lang w:val="el" w:eastAsia="el"/>
        </w:rPr>
      </w:pPr>
      <w:r>
        <w:rPr>
          <w:lang w:val="el" w:eastAsia="el"/>
        </w:rPr>
        <w:t>ζ)</w:t>
      </w:r>
      <w:r>
        <w:rPr>
          <w:lang w:val="en" w:eastAsia="en"/>
        </w:rPr>
        <w:tab/>
      </w:r>
      <w:r>
        <w:rPr>
          <w:lang w:val="el" w:eastAsia="el"/>
        </w:rPr>
        <w:t xml:space="preserve">Οι ασχολούμενοι με την κατασκευή οποιουδήποτε τεχνικού έργου (ενδεικτικά και όχι περιοριστικά ξυλουργός, σιδηρουργός, υδραυλικός, ηλεκτρολόγος, κτίστης και γενικά όσοι ασχολούνται με οικοδομικές εργασίες), καθώς και ο κατασκευαστής επιταφίων μνημείων (μαρμαρογλυφείων), </w:t>
      </w:r>
    </w:p>
    <w:p>
      <w:pPr>
        <w:pStyle w:val="StructureList1"/>
        <w:spacing w:before="120" w:after="0"/>
        <w:rPr>
          <w:lang w:val="el" w:eastAsia="el"/>
        </w:rPr>
      </w:pPr>
      <w:r>
        <w:rPr>
          <w:lang w:val="el" w:eastAsia="el"/>
        </w:rPr>
        <w:t>η)</w:t>
      </w:r>
      <w:r>
        <w:rPr>
          <w:lang w:val="en" w:eastAsia="en"/>
        </w:rPr>
        <w:tab/>
      </w:r>
      <w:r>
        <w:rPr>
          <w:lang w:val="el" w:eastAsia="el"/>
        </w:rPr>
        <w:t xml:space="preserve">Οι διατηρούντες κτηματομεσιτικό γραφείο, γραφείο τελετών, γραφείο συνοικεσίων, γραφείο διεκπεραίωσης εμπιστευτικών εργασιών, γραφείο ευρέσεως εργασίας,  </w:t>
      </w:r>
    </w:p>
    <w:p>
      <w:pPr>
        <w:pStyle w:val="StructureList1"/>
        <w:spacing w:before="120" w:after="0"/>
        <w:rPr>
          <w:lang w:val="el" w:eastAsia="el"/>
        </w:rPr>
      </w:pPr>
      <w:r>
        <w:rPr>
          <w:lang w:val="el" w:eastAsia="el"/>
        </w:rPr>
        <w:t>θ)</w:t>
      </w:r>
      <w:r>
        <w:rPr>
          <w:lang w:val="en" w:eastAsia="en"/>
        </w:rPr>
        <w:tab/>
      </w:r>
      <w:r>
        <w:rPr>
          <w:lang w:val="el" w:eastAsia="el"/>
        </w:rPr>
        <w:t>Η επιχείρηση ημερήσιου και περιοδικού τύπου για την είσπραξη συνδρομών, ενοικίασης επιβατηγών αυτοκινήτων, μοτοσυκλετών και μοτοποδηλάτων, έκδοσης κοινοχρήστων λογαριασμών πολυκατοικιών, καθαρισμού και απολύμανσης κατοικιών, επισκευής και συντήρησης ανελκυστήρων και λοιπών εγκαταστάσεων κατοικιών, η επιχείρηση μεταφοράς αγαθών,</w:t>
      </w:r>
    </w:p>
    <w:p>
      <w:pPr>
        <w:pStyle w:val="StructureList1"/>
        <w:spacing w:before="120" w:after="0"/>
        <w:rPr>
          <w:lang w:val="el" w:eastAsia="el"/>
        </w:rPr>
      </w:pPr>
      <w:r>
        <w:rPr>
          <w:lang w:val="el" w:eastAsia="el"/>
        </w:rPr>
        <w:t>ι)</w:t>
      </w:r>
      <w:r>
        <w:rPr>
          <w:lang w:val="en" w:eastAsia="en"/>
        </w:rPr>
        <w:tab/>
      </w:r>
      <w:r>
        <w:rPr>
          <w:lang w:val="el" w:eastAsia="el"/>
        </w:rPr>
        <w:t xml:space="preserve">Το Δημόσιο, οι Δήμοι και τα λοιπά Νομικά Πρόσωπα Δημοσίου Δικαίου για τα στοιχεία που εκδίδουν,  </w:t>
      </w:r>
    </w:p>
    <w:p>
      <w:pPr>
        <w:pStyle w:val="StructureList1"/>
        <w:spacing w:before="120" w:after="0"/>
        <w:rPr>
          <w:lang w:val="el" w:eastAsia="el"/>
        </w:rPr>
      </w:pPr>
      <w:r>
        <w:rPr>
          <w:lang w:val="el" w:eastAsia="el"/>
        </w:rPr>
        <w:t>ια)</w:t>
      </w:r>
      <w:r>
        <w:rPr>
          <w:lang w:val="en" w:eastAsia="en"/>
        </w:rPr>
        <w:tab/>
      </w:r>
      <w:r>
        <w:rPr>
          <w:lang w:val="el" w:eastAsia="el"/>
        </w:rPr>
        <w:t xml:space="preserve">Οι ασφαλιστικές επιχειρήσεις, τα τραπεζικά − πιστωτικά Ιδρύματα και τα ΕΛ.ΤΑ. Α.Ε., για τις λιανικές πωλήσεις αγαθών και υπηρεσιών που διενεργούν, </w:t>
      </w:r>
    </w:p>
    <w:p>
      <w:pPr>
        <w:pStyle w:val="StructureList1"/>
        <w:spacing w:before="120" w:after="0"/>
        <w:rPr>
          <w:lang w:val="el" w:eastAsia="el"/>
        </w:rPr>
      </w:pPr>
      <w:r>
        <w:rPr>
          <w:lang w:val="el" w:eastAsia="el"/>
        </w:rPr>
        <w:t>ιβ)</w:t>
      </w:r>
      <w:r>
        <w:rPr>
          <w:lang w:val="en" w:eastAsia="en"/>
        </w:rPr>
        <w:tab/>
      </w:r>
      <w:r>
        <w:rPr>
          <w:lang w:val="el" w:eastAsia="el"/>
        </w:rPr>
        <w:t xml:space="preserve">Ο εκμεταλλευτής διοδίων για τα παραστατικά διέλευσης των οχημάτων και ο εκμεταλλευτής τουριστικού - ταξιδιωτικού γραφείου. </w:t>
      </w:r>
    </w:p>
    <w:p>
      <w:pPr>
        <w:pStyle w:val="MainText"/>
        <w:spacing w:before="120" w:after="0"/>
        <w:rPr>
          <w:lang w:val="el" w:eastAsia="el"/>
        </w:rPr>
      </w:pPr>
      <w:r>
        <w:rPr>
          <w:b/>
          <w:bCs/>
          <w:lang w:val="el" w:eastAsia="el"/>
        </w:rPr>
        <w:t>2.</w:t>
      </w:r>
      <w:r>
        <w:rPr>
          <w:lang w:val="el" w:eastAsia="el"/>
        </w:rPr>
        <w:t xml:space="preserve"> Ειδικά, οι οντότητες των περιπτώσεων α΄ και ε΄ έως και θ΄ της παραγράφου 1 απαλλάσσονται της υποχρέωσης χρησιμοποίησης φορολογικού ηλεκτρονικού μηχανισμού για την έκδοση των αποδείξεων λιανικών συναλλαγών με την προϋπόθεση ότι στις εκδιδόμενες αποδείξεις αναγράφουν και το ονοματεπώνυμο και τη διεύθυνση του πελάτη. Οι οντότητες της περίπτωσης β΄ της παραγράφου 1 εμπίπτουν στην ανωτέρω απαλλαγή με την προϋπόθεση ότι αναγράφουν στις εκδιδόμενες αποδείξεις τον αριθμό κυκλοφορίας του οχήματος του πελάτη. </w:t>
      </w:r>
    </w:p>
    <w:p>
      <w:pPr>
        <w:pStyle w:val="MainText"/>
        <w:spacing w:before="120" w:after="0"/>
        <w:rPr>
          <w:lang w:val="el" w:eastAsia="el"/>
        </w:rPr>
      </w:pPr>
      <w:r>
        <w:rPr>
          <w:b/>
          <w:bCs/>
          <w:lang w:val="el" w:eastAsia="el"/>
        </w:rPr>
        <w:t>3.</w:t>
      </w:r>
      <w:r>
        <w:rPr>
          <w:lang w:val="el" w:eastAsia="el"/>
        </w:rPr>
        <w:t xml:space="preserve"> Όσοι από τους υπόχρεους της παραγράφου 1, εκτός από τη συγκεκριμένη δραστηριότητα για την οποία τους παρέχεται η δυνατότητα να μη χρησιμοποιούν φορολογικό ηλεκτρονικό μηχανισμό, διατηρούν μόνιμη επαγγελματική εγκατάσταση (κατάστημα), από την οποία πωλούν λιανικώς αγαθά ή παρέχουν υπηρεσίες στο κοινό (π.χ. ηλεκτρολόγοι, υδραυλικοί, που πωλούν ηλεκτρολογικά ή υδραυλικά είδη) ή ασκούν παράλληλα και άλλη δραστηριότητα για την οποία υπάρχει υποχρέωση χρησιμοποίησης φορολογικού μηχανισμού (π.χ. ράπτης ή ράπτρια που πωλεί και έτοιμα ενδύματα ή εσώρουχα κ.λπ.), υποχρεούνται να εκδίδουν τις αποδείξεις λιανικών συναλλαγών, τουλάχιστον για τη δραστηριότητά τους αυτή, με τη χρήση φορολογικού ηλεκτρονικού μηχανισμού.</w:t>
      </w:r>
    </w:p>
    <w:p>
      <w:pPr>
        <w:pStyle w:val="MainText"/>
        <w:spacing w:before="120" w:after="0"/>
        <w:rPr>
          <w:lang w:val="el" w:eastAsia="el"/>
        </w:rPr>
      </w:pPr>
      <w:r>
        <w:rPr>
          <w:b/>
          <w:bCs/>
          <w:lang w:val="el" w:eastAsia="el"/>
        </w:rPr>
        <w:t>4.</w:t>
      </w:r>
      <w:r>
        <w:rPr>
          <w:lang w:val="el" w:eastAsia="el"/>
        </w:rPr>
        <w:t xml:space="preserve"> Για τις παρακάτω περιπτώσεις λιανικών συναλλαγών παρέχεται απαλλαγή από την υποχρέωση έκδοσης των σχετικών αποδείξεων πώλησης μέσω φορολογικού ηλεκτρονικού μηχανισμού:</w:t>
      </w:r>
    </w:p>
    <w:p>
      <w:pPr>
        <w:pStyle w:val="StructureList1"/>
        <w:spacing w:before="120" w:after="0"/>
        <w:rPr>
          <w:lang w:val="el" w:eastAsia="el"/>
        </w:rPr>
      </w:pPr>
      <w:r>
        <w:rPr>
          <w:lang w:val="el" w:eastAsia="el"/>
        </w:rPr>
        <w:t>α)</w:t>
      </w:r>
      <w:r>
        <w:rPr>
          <w:lang w:val="en" w:eastAsia="en"/>
        </w:rPr>
        <w:tab/>
      </w:r>
      <w:r>
        <w:rPr>
          <w:lang w:val="el" w:eastAsia="el"/>
        </w:rPr>
        <w:t>Οι αποδείξεις λιανικών συναλλαγών που εκδίδονται για πωλήσεις φυσικού αερίου μέσω δικτύου, ύδατος πόσιμου μέσω δικτύου,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w:t>
      </w:r>
    </w:p>
    <w:p>
      <w:pPr>
        <w:pStyle w:val="StructureList1"/>
        <w:spacing w:before="120" w:after="0"/>
        <w:rPr>
          <w:lang w:val="el" w:eastAsia="el"/>
        </w:rPr>
      </w:pPr>
      <w:r>
        <w:rPr>
          <w:lang w:val="el" w:eastAsia="el"/>
        </w:rPr>
        <w:t>β)</w:t>
      </w:r>
      <w:r>
        <w:rPr>
          <w:lang w:val="en" w:eastAsia="en"/>
        </w:rPr>
        <w:tab/>
      </w:r>
      <w:r>
        <w:rPr>
          <w:lang w:val="el" w:eastAsia="el"/>
        </w:rPr>
        <w:t xml:space="preserve">Οι αποδείξεις λιανικών συναλλαγών που εκδίδονται εκτός της επαγγελματικής εγκατάστασης του υπόχρεου, με εξαίρεση τους πωλητές (αγρότες – μεταπωλητές) σε λαϊκές αγορές και τους πωλητές αποκλειστικά μέσω πλανοδίου ή υπαίθριου εμπορίου, </w:t>
      </w:r>
    </w:p>
    <w:p>
      <w:pPr>
        <w:pStyle w:val="StructureList1"/>
        <w:spacing w:before="120" w:after="0"/>
        <w:rPr>
          <w:lang w:val="el" w:eastAsia="el"/>
        </w:rPr>
      </w:pPr>
      <w:r>
        <w:rPr>
          <w:lang w:val="el" w:eastAsia="el"/>
        </w:rPr>
        <w:t>γ)</w:t>
      </w:r>
      <w:r>
        <w:rPr>
          <w:lang w:val="en" w:eastAsia="en"/>
        </w:rPr>
        <w:tab/>
      </w:r>
      <w:r>
        <w:rPr>
          <w:lang w:val="el" w:eastAsia="el"/>
        </w:rPr>
        <w:t>Οι αποδείξεις λιανικών συναλλαγών που εκδίδονται «επί πιστώσει» από οντότητες που χρησιμοποιούν διπλογραφικό λογιστικό σύστημα,</w:t>
      </w:r>
    </w:p>
    <w:p>
      <w:pPr>
        <w:pStyle w:val="StructureList1"/>
        <w:spacing w:before="120" w:after="0"/>
        <w:rPr>
          <w:lang w:val="el" w:eastAsia="el"/>
        </w:rPr>
      </w:pPr>
      <w:r>
        <w:rPr>
          <w:lang w:val="el" w:eastAsia="el"/>
        </w:rPr>
        <w:t>δ)</w:t>
      </w:r>
      <w:r>
        <w:rPr>
          <w:lang w:val="en" w:eastAsia="en"/>
        </w:rPr>
        <w:tab/>
      </w:r>
      <w:r>
        <w:rPr>
          <w:lang w:val="el" w:eastAsia="el"/>
        </w:rPr>
        <w:t xml:space="preserve">Οι αποδείξεις λιανικών συναλλαγών, που από ειδικές φορολογικές διατάξεις, απαιτείται να αναγράφουν επιπλέον δεδομένα (ενδεικτικά και όχι περιοριστικά, είδος αγαθού ή υπηρεσίας, ποσότητα αγαθού, ονοματεπώνυμο πελάτη, κ.λπ.), </w:t>
      </w:r>
    </w:p>
    <w:p>
      <w:pPr>
        <w:pStyle w:val="StructureList1"/>
        <w:spacing w:before="120" w:after="0"/>
        <w:rPr>
          <w:lang w:val="el" w:eastAsia="el"/>
        </w:rPr>
      </w:pPr>
      <w:r>
        <w:rPr>
          <w:lang w:val="el" w:eastAsia="el"/>
        </w:rPr>
        <w:t>ε)</w:t>
      </w:r>
      <w:r>
        <w:rPr>
          <w:lang w:val="en" w:eastAsia="en"/>
        </w:rPr>
        <w:tab/>
      </w:r>
      <w:r>
        <w:rPr>
          <w:lang w:val="el" w:eastAsia="el"/>
        </w:rPr>
        <w:t>Οι αποδείξεις λιανικών συναλλαγών για τη διάθεση ιατρικών συσκευών, χειρουργικών εργαλείων (μίας χρήσης), τεχνητών μοσχευμάτων, προς ασθενείς μέσω θεραπευτηρίων,</w:t>
      </w:r>
    </w:p>
    <w:p>
      <w:pPr>
        <w:pStyle w:val="StructureList1"/>
        <w:spacing w:before="120" w:after="0"/>
        <w:rPr>
          <w:lang w:val="el" w:eastAsia="el"/>
        </w:rPr>
      </w:pPr>
      <w:r>
        <w:rPr>
          <w:lang w:val="el" w:eastAsia="el"/>
        </w:rPr>
        <w:t>στ)</w:t>
      </w:r>
      <w:r>
        <w:rPr>
          <w:lang w:val="en" w:eastAsia="en"/>
        </w:rPr>
        <w:tab/>
      </w:r>
      <w:r>
        <w:rPr>
          <w:lang w:val="el" w:eastAsia="el"/>
        </w:rPr>
        <w:t>Οι αποδείξεις λιανικών συναλλαγών που εκδίδονται από Παρόχους τηλεπικοινωνιών και αφορούν σε πωλήσεις αγαθών ή παροχή υπηρεσιών, πλην παραστατικών λογαριασμών τηλεπικοινωνιακών υπηρεσιών. Η απαλλαγή παύει αυτοδικαίως για κάθε Πάροχο τηλεπικοινωνιών που λαμβάνει «άδεια καταλληλότητας» λογισμικού ηλεκτρονικής έκδοσης στοιχείων λιανικής πώλησης,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StructureList1"/>
        <w:spacing w:before="120" w:after="0"/>
        <w:rPr>
          <w:lang w:val="el" w:eastAsia="el"/>
        </w:rPr>
      </w:pPr>
      <w:r>
        <w:rPr>
          <w:lang w:val="el" w:eastAsia="el"/>
        </w:rPr>
        <w:t>ζ)</w:t>
      </w:r>
      <w:r>
        <w:rPr>
          <w:lang w:val="en" w:eastAsia="en"/>
        </w:rPr>
        <w:tab/>
      </w:r>
      <w:r>
        <w:rPr>
          <w:lang w:val="el" w:eastAsia="el"/>
        </w:rPr>
        <w:t>Οι αποδείξεις λιανικών συναλλαγών που εκδίδονται για συναλλαγές που αφορούν σε πωλήσεις αγαθών ή παροχή υπηρεσιών από αυτόματα μηχανήματα - πωλητές, (π.χ. αυτόματοι πωλητές αναψυκτικών, τροφίμων, πλυσίματος αυτοκινήτων, ρούχων κ.λπ.) έως την 31.12.2025. Από τις παραπάνω περιπτώσεις, εξαιρούνται οι συναλλαγές που διενεργούνται μέσω αυτόματων μηχανημάτων πώλησης υγρών καυσίμων.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Οι παρακάτω πολύ μικρές οντότητες της παραγράφου 2.γ του άρθρου 1 του ν. 4308/2014 απαλλάσσονται από την υποχρέωση έκδοσης των σχετικών αποδείξεων μέσω φορολογικού ηλεκτρονικού μηχανισμού:</w:t>
      </w:r>
    </w:p>
    <w:p>
      <w:pPr>
        <w:pStyle w:val="StructureList1"/>
        <w:spacing w:before="120" w:after="0"/>
        <w:rPr>
          <w:lang w:val="el" w:eastAsia="el"/>
        </w:rPr>
      </w:pPr>
      <w:r>
        <w:rPr>
          <w:lang w:val="el" w:eastAsia="el"/>
        </w:rPr>
        <w:t>α)</w:t>
      </w:r>
      <w:r>
        <w:rPr>
          <w:lang w:val="en" w:eastAsia="en"/>
        </w:rPr>
        <w:tab/>
      </w:r>
      <w:r>
        <w:rPr>
          <w:lang w:val="el" w:eastAsia="el"/>
        </w:rPr>
        <w:t>Οι ατομικές επιχειρήσεις (φυσικά πρόσωπα) που πωλούν αγαθά ή προσφέρουν υπηρεσίες αποκλειστικά από σταθερά σημεία μετά από άδεια των αρμόδιων υπηρεσιών. Στην απαλλαγή εντάσσονται, ενδεικτικά και όχι περιοριστικά,, οι στιλβωτές υποδημάτων καθώς και οι πωλητές κουλουριών, ψημένων καλαμποκιών, κάστανων, ξηρών καρπών, καρύδας ή άλλων αγαθών.</w:t>
      </w:r>
    </w:p>
    <w:p>
      <w:pPr>
        <w:pStyle w:val="StructureList1"/>
        <w:spacing w:before="120" w:after="0"/>
        <w:rPr>
          <w:lang w:val="el" w:eastAsia="el"/>
        </w:rPr>
      </w:pPr>
      <w:r>
        <w:rPr>
          <w:lang w:val="el" w:eastAsia="el"/>
        </w:rPr>
        <w:t>β)</w:t>
      </w:r>
      <w:r>
        <w:rPr>
          <w:lang w:val="en" w:eastAsia="en"/>
        </w:rPr>
        <w:tab/>
      </w:r>
      <w:r>
        <w:rPr>
          <w:lang w:val="el" w:eastAsia="el"/>
        </w:rPr>
        <w:t xml:space="preserve">Οι ατομικές επιχειρήσεις (φυσικά πρόσωπα) που απαλλάσσονται από το Φ.Π.Α. λόγω ύψους ακαθαρίστων εσόδων σύμφωνα με τις διατάξεις του άρθρου 39 του ν. 2859/2000 (ΦΕΚ 248 Α΄) με εξαίρεση τους εκμεταλλευτές ΤΑΞΙ, τα πρατήρια υγρών καυσίμων και τους πωλητές πετρελαίου θέρμανσης. </w:t>
      </w:r>
    </w:p>
    <w:p>
      <w:pPr>
        <w:pStyle w:val="StructureList1"/>
        <w:spacing w:before="120" w:after="0"/>
        <w:rPr>
          <w:lang w:val="el" w:eastAsia="el"/>
        </w:rPr>
      </w:pPr>
      <w:r>
        <w:rPr>
          <w:lang w:val="el" w:eastAsia="el"/>
        </w:rPr>
        <w:t>γ)</w:t>
      </w:r>
      <w:r>
        <w:rPr>
          <w:lang w:val="en" w:eastAsia="en"/>
        </w:rPr>
        <w:tab/>
      </w:r>
      <w:r>
        <w:rPr>
          <w:lang w:val="el" w:eastAsia="el"/>
        </w:rPr>
        <w:t>Οι οντότητες που εντάσσονται στο ειδικό καθεστώς κατ’ αποκοπή καταβολής του Φόρου Προστιθέμενης Αξίας, σύμφωνα με τις διατάξεις του άρθρου 40 του ν. 2859/2000.</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  </w:t>
      </w:r>
    </w:p>
    <w:p>
      <w:pPr>
        <w:spacing w:before="240" w:after="240"/>
        <w:rPr>
          <w:lang w:val="el" w:eastAsia="el"/>
        </w:rPr>
      </w:pPr>
      <w:r>
        <w:rPr>
          <w:lang w:val="el" w:eastAsia="el"/>
        </w:rPr>
        <w:t>Στα εκδιδόμενα στοιχεία λιανικής πώλησης που αφορούν σε παραστατικά λογαριασμών πωλήσεων πόσιμου ύδατος μέσω δικτύου, ηλεκτρικού ρεύματος και τηλεπικοινωνιακών υπηρεσιών, καθώς και στις ασφαλιστικές υπηρεσίες, αναγράφονται και το ονοματεπώνυμο του πελάτη, η διεύθυνσή του και ο αριθμός φορολογικού μητρώου ή ο αριθμός της αστυνομικής του ταυτότητας, αν στερείται αριθμού φορολογικού μητρώου.</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Σε περίπτωση διακοπής λειτουργίας του φορολογικού μηχανισμού λόγω βλάβης φορολογικής μνήμης, η έχουσα την τεχνική υποστήριξη ή την άδεια καταλληλότητας κατασκευάστρια εταιρεία ΦΗΜ, μετά την έκδοση της Τεχνικής Αναφοράς Βλάβης Φορολογικής Μνήμης, υποχρεούται μέσα σε δέκα (10) ημέρες να δηλώσει αυτήν, με την χρήση ηλεκτρονικής μεθόδου επικοινωνίας μέσω taxis net. Εξαιρετικά για τις βλάβες που αφορούν το φορολογικό έτος 2015 η σχετική δήλωση δύναται να υποβληθεί μέχρι τις 10.1.2016. Οι πληροφορίες που υποβάλλονται με την δήλωση αυτή είναι: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 τύπος και ο σειριακός αριθμός του ΦΗΜ,</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Ο χρόνος διακοπής,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Τα στοιχεία της κατασκευάστριας εταιρείας ΦΗΜ (ΑΦΜ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Τα στοιχεία του κατόχου (ΑΦΜ),</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ε)</w:t>
      </w:r>
      <w:r>
        <w:rPr>
          <w:lang w:val="en" w:eastAsia="en"/>
        </w:rPr>
        <w:tab/>
      </w:r>
      <w:r>
        <w:rPr>
          <w:lang w:val="el" w:eastAsia="el"/>
        </w:rPr>
        <w:t>Τα προοδευτικά ποσά εισπράξεων και ΦΠΑ ή η ΠΑΗΨΣ του τελευταίου Ζ.</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απόφαση αυτή ισχύει από το τρέχον φορολογικό έτος 2015 και εφεξής.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 Τμήματος Διοίκησης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 xml:space="preserve">ΑΙΚΑΤΕΡΙΝΗ ΣΑΒΒΑΪΔΟΥ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1064/2024 26.04.2024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1064/2024 26.04.2024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1064/2024 26.04.2024; Τροποποίηση A. 1201/2024 31.12.2024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1064/2024 26.04.2024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ΠΟΛ.1023/2015 20.02.2015; Τροποποίηση A. ΠΟΛ.1095/2015 12.05.2015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ΠΟΛ.1023/2015 20.02.2015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ΠΟΛ.1023/2015 20.02.2015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ΠΟΛ.1023/2015 20.02.2015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ΠΟΛ.1023/2015 20.02.2015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ΠΟΛ.1023/2015 20.02.2015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