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ΦΕΚ 73 Β΄/16.1.2015</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 xml:space="preserve">Αθήνα, </w:t>
      </w:r>
      <w:r>
        <w:rPr>
          <w:b/>
          <w:bCs/>
          <w:lang w:val="el" w:eastAsia="el"/>
        </w:rPr>
        <w:t>9/1/2015</w:t>
      </w:r>
    </w:p>
    <w:p>
      <w:pPr>
        <w:pStyle w:val="PreambelText"/>
        <w:spacing w:before="240" w:after="240"/>
        <w:rPr>
          <w:lang w:val="el" w:eastAsia="el"/>
        </w:rPr>
      </w:pPr>
      <w:r>
        <w:rPr>
          <w:b/>
          <w:bCs/>
          <w:lang w:val="el" w:eastAsia="el"/>
        </w:rPr>
        <w:t>ΠΟΛ.1007</w:t>
      </w:r>
    </w:p>
    <w:p>
      <w:pPr>
        <w:pStyle w:val="enacting"/>
        <w:spacing w:before="120" w:after="0"/>
        <w:rPr>
          <w:lang w:val="el" w:eastAsia="el"/>
        </w:rPr>
      </w:pPr>
      <w:r>
        <w:rPr>
          <w:b/>
          <w:bCs/>
          <w:lang w:val="el" w:eastAsia="el"/>
        </w:rPr>
        <w:t>ΠΡΟΣ: Ως Π.Δ.</w:t>
      </w:r>
    </w:p>
    <w:p>
      <w:pPr>
        <w:pStyle w:val="PreambelText"/>
        <w:spacing w:before="240" w:after="240"/>
        <w:rPr>
          <w:lang w:val="el" w:eastAsia="el"/>
        </w:rPr>
      </w:pPr>
      <w:r>
        <w:rPr>
          <w:lang w:val="el" w:eastAsia="el"/>
        </w:rPr>
        <w:t>Ταχ. Δ/νση</w:t>
      </w:r>
    </w:p>
    <w:p>
      <w:pPr>
        <w:pStyle w:val="PreambelText"/>
        <w:spacing w:before="240" w:after="240"/>
        <w:rPr>
          <w:lang w:val="el" w:eastAsia="el"/>
        </w:rPr>
      </w:pPr>
      <w:r>
        <w:rPr>
          <w:lang w:val="el" w:eastAsia="el"/>
        </w:rPr>
        <w:t>Ταχ. Κωδ. Πληροφορίες</w:t>
      </w:r>
    </w:p>
    <w:p>
      <w:pPr>
        <w:pStyle w:val="PreambelText"/>
        <w:spacing w:before="240" w:after="240"/>
        <w:rPr>
          <w:lang w:val="el" w:eastAsia="el"/>
        </w:rPr>
      </w:pPr>
      <w:r>
        <w:rPr>
          <w:lang w:val="el" w:eastAsia="el"/>
        </w:rPr>
        <w:t>Τηλέφωνο</w:t>
      </w:r>
    </w:p>
    <w:p>
      <w:pPr>
        <w:pStyle w:val="PreambelText"/>
        <w:spacing w:before="240" w:after="240"/>
        <w:rPr>
          <w:lang w:val="el" w:eastAsia="el"/>
        </w:rPr>
      </w:pPr>
      <w:r>
        <w:rPr>
          <w:lang w:val="el" w:eastAsia="el"/>
        </w:rPr>
        <w:t>210-3638389</w:t>
      </w:r>
    </w:p>
    <w:p>
      <w:pPr>
        <w:pStyle w:val="PreambelText"/>
        <w:spacing w:before="240" w:after="240"/>
        <w:rPr>
          <w:lang w:val="el" w:eastAsia="el"/>
        </w:rPr>
      </w:pPr>
      <w:r>
        <w:rPr>
          <w:lang w:val="el" w:eastAsia="el"/>
        </w:rPr>
        <w:t>210-3627090</w:t>
      </w:r>
    </w:p>
    <w:p>
      <w:pPr>
        <w:pStyle w:val="PreambelText"/>
        <w:spacing w:before="240" w:after="240"/>
        <w:rPr>
          <w:lang w:val="el" w:eastAsia="el"/>
        </w:rPr>
      </w:pPr>
      <w:r>
        <w:rPr>
          <w:b/>
          <w:bCs/>
          <w:lang w:val="el" w:eastAsia="el"/>
        </w:rPr>
        <w:t>ΘΕΜΑ: «Απαλλαγή από την υποχρέωση τήρησης λογιστικών αρχείων (βιβλίων) των αγροτών και λοιπών περιπτώσεων.»</w:t>
      </w:r>
    </w:p>
    <w:p>
      <w:pPr>
        <w:pStyle w:val="enacting"/>
        <w:spacing w:before="120" w:after="0"/>
        <w:rPr>
          <w:lang w:val="el" w:eastAsia="el"/>
        </w:rPr>
      </w:pPr>
      <w:r>
        <w:rPr>
          <w:b/>
          <w:bCs/>
          <w:lang w:val="el" w:eastAsia="el"/>
        </w:rPr>
        <w:t>ΑΠΟΦΑΣΗ</w:t>
      </w:r>
      <w:r>
        <w:rPr>
          <w:lang w:val="el" w:eastAsia="el"/>
        </w:rPr>
        <w:br/>
      </w:r>
      <w:r>
        <w:rPr>
          <w:b/>
          <w:bCs/>
          <w:lang w:val="el" w:eastAsia="el"/>
        </w:rPr>
        <w:t>Η ΓΕΝΙΚΗ ΓΡΑΜΜΑΤΕΑΣ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παραγράφου 14 του άρθρου 30 του ν.4308/2014 (ΦΕΚ251Α΄).</w:t>
      </w:r>
    </w:p>
    <w:p>
      <w:pPr>
        <w:pStyle w:val="PreambelText"/>
        <w:spacing w:before="240" w:after="240"/>
        <w:rPr>
          <w:lang w:val="el" w:eastAsia="el"/>
        </w:rPr>
      </w:pPr>
      <w:r>
        <w:rPr>
          <w:lang w:val="el" w:eastAsia="el"/>
        </w:rPr>
        <w:t>2. Το Π.Δ. 111/2014 (ΦΕΚ178Α’) «Οργανισμός του Υπουργείου Οικονομικών».</w:t>
      </w:r>
    </w:p>
    <w:p>
      <w:pPr>
        <w:pStyle w:val="PreambelText"/>
        <w:spacing w:before="240" w:after="240"/>
        <w:rPr>
          <w:lang w:val="el" w:eastAsia="el"/>
        </w:rPr>
      </w:pPr>
      <w:r>
        <w:rPr>
          <w:lang w:val="el" w:eastAsia="el"/>
        </w:rPr>
        <w:t>3. Ότι, από 1.1.2015, με την καθιέρωση των Ελληνικών Λογιστικών Προτύπων, επέρχονται ορισμένες διαφοροποιήσεις ως προς την έκδοση αποδείξεων (παραστατικών πώλησης) λιανικών συναλλαγών και την τήρηση βιβλίων από συγκεκριμένες κατηγορίες οντοτήτων, και ως εκ τούτου κρίνεται απαραίτητο να παρασχεθούν οι αναγκαίες διευκολύνσεις</w:t>
      </w:r>
    </w:p>
    <w:p>
      <w:pPr>
        <w:pStyle w:val="PreambelText"/>
        <w:spacing w:before="240" w:after="240"/>
        <w:rPr>
          <w:lang w:val="el" w:eastAsia="el"/>
        </w:rPr>
      </w:pPr>
      <w:r>
        <w:rPr>
          <w:lang w:val="el" w:eastAsia="el"/>
        </w:rPr>
        <w:t>για την άσκηση της επαγγελματικής τους δραστηριότητας, ειδικά στις μικρές αγροτικές επιχειρήσεις.</w:t>
      </w:r>
    </w:p>
    <w:p>
      <w:pPr>
        <w:pStyle w:val="PreambelText"/>
        <w:spacing w:before="240" w:after="240"/>
        <w:rPr>
          <w:lang w:val="el" w:eastAsia="el"/>
        </w:rPr>
      </w:pPr>
      <w:r>
        <w:rPr>
          <w:lang w:val="el" w:eastAsia="el"/>
        </w:rPr>
        <w:t>4. Τις διατάξεις του άρθρου 41 του Κώδικα ΦΠΑ (ν.2859/2000 – ΦΕΚ 248Α’), όπως ισχύουν.</w:t>
      </w:r>
    </w:p>
    <w:p>
      <w:pPr>
        <w:pStyle w:val="PreambelText"/>
        <w:spacing w:before="240" w:after="240"/>
        <w:rPr>
          <w:lang w:val="el" w:eastAsia="el"/>
        </w:rPr>
      </w:pPr>
      <w:r>
        <w:rPr>
          <w:lang w:val="el" w:eastAsia="el"/>
        </w:rPr>
        <w:t>5.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w:t>
      </w:r>
    </w:p>
    <w:p>
      <w:pPr>
        <w:pStyle w:val="PreambelText"/>
        <w:spacing w:before="240" w:after="240"/>
        <w:rPr>
          <w:lang w:val="el" w:eastAsia="el"/>
        </w:rPr>
      </w:pPr>
      <w:r>
        <w:rPr>
          <w:lang w:val="el" w:eastAsia="el"/>
        </w:rPr>
        <w:t>6.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7. Ότι με την παρούσα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Παρέχεται η δυνατότητα, από το φορολογικό έτος (περίοδο) 2015 και εφεξής, μη ενημέρωσης λογιστικών βιβλίων στους αγρότες – φυσικά πρόσωπα οι οποίοι λόγω υπέρβασης των ορίων της παραγράφου 1 του άρθρου 41 του ν. 2859/2000 εντάσσονται στο κανονικό καθεστώς Φ.Π.Α. και υποχρεούνται στην τήρηση λογιστικών αρχείων (βιβλίων και στοιχείων), εφόσον:</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από την πώληση αγροτικών προϊόντων παραγωγής τους και την παροχή αγροτικών υπηρεσιών δεν υπερβαίνουν το ενάμιση εκατομμύριο (1.500.000) ευρώ,</w:t>
      </w:r>
    </w:p>
    <w:p>
      <w:pPr>
        <w:pStyle w:val="StructureList1"/>
        <w:spacing w:before="120" w:after="0"/>
        <w:rPr>
          <w:lang w:val="el" w:eastAsia="el"/>
        </w:rPr>
      </w:pPr>
      <w:r>
        <w:rPr>
          <w:lang w:val="el" w:eastAsia="el"/>
        </w:rPr>
        <w:t>β)</w:t>
      </w:r>
      <w:r>
        <w:rPr>
          <w:lang w:val="en" w:eastAsia="en"/>
        </w:rPr>
        <w:tab/>
      </w:r>
      <w:r>
        <w:rPr>
          <w:lang w:val="el" w:eastAsia="el"/>
        </w:rPr>
        <w:t>τα λογιστικά στοιχεία τηρούνται με τάξη και πληρότητα ώστε να εκπληρούνται με ορθότητα οι φορολογικές ή άλλες υποχρεώσεις του υπόχρεου και να διευκολύνεται η διενέργεια οποιουδήποτε ελέγχου, και</w:t>
      </w:r>
    </w:p>
    <w:p>
      <w:pPr>
        <w:pStyle w:val="StructureList1"/>
        <w:spacing w:before="120" w:after="0"/>
        <w:rPr>
          <w:lang w:val="el" w:eastAsia="el"/>
        </w:rPr>
      </w:pPr>
      <w:r>
        <w:rPr>
          <w:lang w:val="el" w:eastAsia="el"/>
        </w:rPr>
        <w:t>γ)</w:t>
      </w:r>
      <w:r>
        <w:rPr>
          <w:lang w:val="en" w:eastAsia="en"/>
        </w:rPr>
        <w:tab/>
      </w:r>
      <w:r>
        <w:rPr>
          <w:lang w:val="el" w:eastAsia="el"/>
        </w:rPr>
        <w:t>δεν ασκείται άλλη δραστηριότητα, για την οποία υπάρχει υποχρέωση τήρησης βιβλίων.</w:t>
      </w:r>
    </w:p>
    <w:p>
      <w:pPr>
        <w:pStyle w:val="MainText"/>
        <w:spacing w:before="120" w:after="0"/>
        <w:rPr>
          <w:lang w:val="el" w:eastAsia="el"/>
        </w:rPr>
      </w:pPr>
      <w:r>
        <w:rPr>
          <w:b/>
          <w:bCs/>
          <w:lang w:val="el" w:eastAsia="el"/>
        </w:rPr>
        <w:t>2.</w:t>
      </w:r>
      <w:r>
        <w:rPr>
          <w:lang w:val="el" w:eastAsia="el"/>
        </w:rPr>
        <w:t xml:space="preserve"> Όσοι αγρότες – φυσικά πρόσωπα του κανονικού καθεστώτος Φ.Π.Α. δεν ασκήσουν την επόμενη διαχειριστική περίοδο την αγροτική τους εκμετάλλευση ούτε δικαιούνται να λάβουν δικαιώματα ενιαίας ενίσχυσης, δεν υποχρεούνται σε τήρηση βιβλίων και έκδοση στοιχείων. Στην περίπτωση που μέχρι το τέλος της προηγούμενης διαχειριστικής περιόδου δεν προκύπτει το ύψος των δικαιωμάτων ενιαίας ενίσχυσης, λαμβάνεται υπόψη το ποσό της προ-προηγούμενης διαχειριστικής περιόδου. Επί μεταβίβασης δε, των δικαιωμάτων ενιαίας ενίσχυσης εντός της προβλεπόμενης προθεσμίας, η υποχρέωση για τήρηση λογιστικών αρχείων (βιβλίων και στοιχείων) καταλαμβάνει τους αγρότες με εναπομείναντα δικαιώματα ενιαίας ενίσχυσης πάνω από το προβλεπόμενο όριο των πέντε χιλιάδων (5.000) ευρώ.</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lang w:val="el" w:eastAsia="el"/>
        </w:rPr>
        <w:t>Απαλλάσσονται από το φορολογικό έτος (περίοδο) 2015 και εφεξής μόνο από την ενημέρωση λογιστικών αρχείων (βιβλία) οι πολύ μικρές οντότητες της παραγράφου 2.γ του άρθρου 1 του ν. 4308/2014 οι οποίες:</w:t>
      </w:r>
    </w:p>
    <w:p>
      <w:pPr>
        <w:pStyle w:val="MainText"/>
        <w:spacing w:before="120" w:after="0"/>
        <w:rPr>
          <w:lang w:val="el" w:eastAsia="el"/>
        </w:rPr>
      </w:pPr>
      <w:r>
        <w:rPr>
          <w:b/>
          <w:bCs/>
          <w:lang w:val="el" w:eastAsia="el"/>
        </w:rPr>
        <w:t>1.</w:t>
      </w:r>
      <w:r>
        <w:rPr>
          <w:lang w:val="el" w:eastAsia="el"/>
        </w:rPr>
        <w:t xml:space="preserve"> Είναι ατομικές επιχειρήσεις (φυσικά πρόσωπα) που πωλούν αγαθά ή προσφέρουν υπηρεσίες, αποκλειστικά από σταθερά σημεία μετά από άδεια των αρμόδιων υπηρεσιών, με εξαίρεση τις λαϊκές αγορές και τα παζάρια. Στην απαλλαγή της παραγράφου αυτής εντάσσονται, ενδεικτικά και όχι περιοριστικά, οι στιλβωτές υποδημάτων καθώς και οι πωλητές κουλουριών, ψημένων καλαμποκιών, κάστανων, ξηρών καρπών, καρύδας ή άλλων αγαθών, που πωλούνται ή προσφέρονται.</w:t>
      </w:r>
    </w:p>
    <w:p>
      <w:pPr>
        <w:pStyle w:val="MainText"/>
        <w:spacing w:before="120" w:after="0"/>
        <w:rPr>
          <w:lang w:val="el" w:eastAsia="el"/>
        </w:rPr>
      </w:pPr>
      <w:r>
        <w:rPr>
          <w:b/>
          <w:bCs/>
          <w:lang w:val="el" w:eastAsia="el"/>
        </w:rPr>
        <w:t>2.</w:t>
      </w:r>
      <w:r>
        <w:rPr>
          <w:lang w:val="el" w:eastAsia="el"/>
        </w:rPr>
        <w:t xml:space="preserve"> Είναι ατομικές επιχειρήσεις (φυσικά πρόσωπα) που απαλλάσσονται από το Φ.Π.Α. λόγω ύψους ακαθαρίστων εσόδων σύμφωνα με τις διατάξεις του άρθρου 39 του ν.2859/2000 (ΦΕΚ 248 Α’) με εξαίρεση τους εκμεταλλευτές ΤΑΞΙ, τα πρατήρια υγρών καυσίμων και τους πωλητές πετρελαίου θέρμανσης.</w:t>
      </w:r>
    </w:p>
    <w:p>
      <w:pPr>
        <w:pStyle w:val="MainText"/>
        <w:spacing w:before="120" w:after="0"/>
        <w:rPr>
          <w:lang w:val="el" w:eastAsia="el"/>
        </w:rPr>
      </w:pPr>
      <w:r>
        <w:rPr>
          <w:b/>
          <w:bCs/>
          <w:lang w:val="el" w:eastAsia="el"/>
        </w:rPr>
        <w:t>3.</w:t>
      </w:r>
      <w:r>
        <w:rPr>
          <w:lang w:val="el" w:eastAsia="el"/>
        </w:rPr>
        <w:t xml:space="preserve"> Είναι ατομικές επιχειρήσεις (φυσικά πρόσωπα) – πλανόδιοι λιανοπωλητές λαχείων.</w:t>
      </w:r>
    </w:p>
    <w:p>
      <w:pPr>
        <w:pStyle w:val="MainText"/>
        <w:spacing w:before="120" w:after="0"/>
        <w:rPr>
          <w:lang w:val="el" w:eastAsia="el"/>
        </w:rPr>
      </w:pPr>
      <w:r>
        <w:rPr>
          <w:b/>
          <w:bCs/>
          <w:lang w:val="el" w:eastAsia="el"/>
        </w:rPr>
        <w:t>4.</w:t>
      </w:r>
      <w:r>
        <w:rPr>
          <w:lang w:val="el" w:eastAsia="el"/>
        </w:rPr>
        <w:t xml:space="preserve"> Είναι οντότητες που εντάσσονται στο ειδικό καθεστώς κατ’ αποκοπή καταβολής του Φόρου Προστιθέμενης Αξίας, σύμφωνα με τις διατάξεις του άρθρου 40 του ν.2859/2000.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Ακριβές Αντίγραφο Η ΓΕΝΙΚΗ ΓΡΑΜΜΑΤΕΑΣ ΔΗΜΟΣΙΩΝ ΕΣΟΔΩΝ Ο Προϊστάμενος του αυτοτελούς τμήματος ΑΙΚΑΤΕΡΙΝΗ ΣΑΒΒΑΪΔΟΥ</w:t>
      </w:r>
    </w:p>
    <w:p>
      <w:pPr>
        <w:spacing w:before="240" w:after="240"/>
        <w:rPr>
          <w:lang w:val="el" w:eastAsia="el"/>
        </w:rPr>
      </w:pPr>
      <w:r>
        <w:rPr>
          <w:lang w:val="el" w:eastAsia="el"/>
        </w:rPr>
        <w:t>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από τα αυτοτελή γραφεία Δημόσιας Περιουσίας).</w:t>
      </w:r>
    </w:p>
    <w:p>
      <w:pPr>
        <w:spacing w:before="240" w:after="240"/>
        <w:rPr>
          <w:lang w:val="el" w:eastAsia="el"/>
        </w:rPr>
      </w:pPr>
      <w:r>
        <w:rPr>
          <w:lang w:val="el" w:eastAsia="el"/>
        </w:rPr>
        <w:t>2. Κεντρική Υπηρεσία Σ.Δ.Ο.Ε. και Περιφερειακές Δ/νσεις.</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Η΄</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ΙΑ΄( μόνο Δικηγορικοί και Συμβολαιογραφικοί σύλλογοι)</w:t>
      </w:r>
    </w:p>
    <w:p>
      <w:pPr>
        <w:spacing w:before="240" w:after="240"/>
        <w:rPr>
          <w:lang w:val="el" w:eastAsia="el"/>
        </w:rPr>
      </w:pPr>
      <w:r>
        <w:rPr>
          <w:lang w:val="el" w:eastAsia="el"/>
        </w:rPr>
        <w:t>5. Αποδέκτες πίνακα ΙΒ΄</w:t>
      </w:r>
    </w:p>
    <w:p>
      <w:pPr>
        <w:spacing w:before="240" w:after="240"/>
        <w:rPr>
          <w:lang w:val="el" w:eastAsia="el"/>
        </w:rPr>
      </w:pPr>
      <w:r>
        <w:rPr>
          <w:lang w:val="el" w:eastAsia="el"/>
        </w:rPr>
        <w:t>6. Αποδέκτες πίνακα ΙΓ΄΄</w:t>
      </w:r>
    </w:p>
    <w:p>
      <w:pPr>
        <w:spacing w:before="240" w:after="240"/>
        <w:rPr>
          <w:lang w:val="el" w:eastAsia="el"/>
        </w:rPr>
      </w:pPr>
      <w:r>
        <w:rPr>
          <w:lang w:val="el" w:eastAsia="el"/>
        </w:rPr>
        <w:t>7. Αποδέκτες πίνακα ΙΕ΄</w:t>
      </w:r>
    </w:p>
    <w:p>
      <w:pPr>
        <w:spacing w:before="240" w:after="240"/>
        <w:rPr>
          <w:lang w:val="el" w:eastAsia="el"/>
        </w:rPr>
      </w:pPr>
      <w:r>
        <w:rPr>
          <w:lang w:val="el" w:eastAsia="el"/>
        </w:rPr>
        <w:t>8. Αποδέκτες πίνακα ΙΣΤ΄</w:t>
      </w:r>
    </w:p>
    <w:p>
      <w:pPr>
        <w:spacing w:before="240" w:after="240"/>
        <w:rPr>
          <w:lang w:val="el" w:eastAsia="el"/>
        </w:rPr>
      </w:pPr>
      <w:r>
        <w:rPr>
          <w:lang w:val="el" w:eastAsia="el"/>
        </w:rPr>
        <w:t>9. Αποδέκτες πίνακα ΙΖ΄</w:t>
      </w:r>
    </w:p>
    <w:p>
      <w:pPr>
        <w:spacing w:before="240" w:after="240"/>
        <w:rPr>
          <w:lang w:val="el" w:eastAsia="el"/>
        </w:rPr>
      </w:pPr>
      <w:r>
        <w:rPr>
          <w:lang w:val="el" w:eastAsia="el"/>
        </w:rPr>
        <w:t>10. Αποδέκτες πίνακα ΙΗ΄</w:t>
      </w:r>
    </w:p>
    <w:p>
      <w:pPr>
        <w:spacing w:before="240" w:after="240"/>
        <w:rPr>
          <w:lang w:val="el" w:eastAsia="el"/>
        </w:rPr>
      </w:pPr>
      <w:r>
        <w:rPr>
          <w:lang w:val="el" w:eastAsia="el"/>
        </w:rPr>
        <w:t>11. ΦΟΡΟΛΟΓΙΚΕΣ ΠΕΡΙΦΕΡΕΙΕΣ: ΑΘΗΝΩΝ, ΠΕΙΡΑΙΩΣ,ΘΕΣ/ΝΙΚΗΣ,ΠΑΤΡΩΝ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Αυτοτελές Γραφείο Επικοινωνίας και Δημοσίων Σχέσεων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Κ.Φ.Α.Σ. ( πρώην Δ15) σε (15) αντίγραφα</w:t>
      </w:r>
    </w:p>
    <w:p>
      <w:pPr>
        <w:spacing w:before="240" w:after="240"/>
        <w:rPr>
          <w:lang w:val="el" w:eastAsia="el"/>
        </w:rPr>
      </w:pPr>
      <w:r>
        <w:rPr>
          <w:lang w:val="el" w:eastAsia="el"/>
        </w:rPr>
        <w:t>9. Υποδιευθύνσεις και Αυτοτελή τμήματα της Δ/νσης Εφαρμογής της Φορολογικής Πολιτικής και Νομοθεσίας.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