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 ΓΕΝΙΚΗ Δ/ΝΣΗ ΦΟΡΟΛΟΓΙΚΗΣ ΔΙΟΙΚΗΣΗΣ Δ/ΝΣΗ ΕΦΑΡΜΟΓΗΣ ΤΗΣ ΦΟΡΟΛΟΓΙΚΗΣ ΠΟΛΙΤΙΚΗΣ ΚΑΙ ΝΟΜΟΘΕΣΙΑΣ ΥΠΟΔΙΕΥΘΥΝΣΗ Β’ ΕΜΜΕΣΗΣ ΦΟΡΟΛΟΓΙΑΣ ΤΜΗΜΑ Β΄ΤΕΛΩΝ ΚΑΙ ΕΙΔΙΚΩΝ ΦΟΡΟΛΟΓΙΩΝ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12 Ιανουαρίου 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ΠΟΛ:1016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Ως Π.Δ.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10672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3642570- 210 3642922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3642251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</w:t>
      </w:r>
      <w:r>
        <w:rPr>
          <w:b/>
          <w:bCs/>
          <w:lang w:val="el" w:eastAsia="el"/>
        </w:rPr>
        <w:t xml:space="preserve"> : Τροποποίηση της Απόφασης του Γενικού Γραμματέα Δημοσίων Εσόδων ΠΟΛ 1271/23-12-2013 (ΦΕΚ Β΄3364) «Καθορισμός της διαδικασίας απόδοσης του ειδικού φόρου τηλεοπτικών διαφημίσεων καθώς και του τύπου και περιεχομένου της δήλωσης».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12 του άρθρου πέμπτου του ν. 3845/2010 ( 65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6, 40, 41 και 53 του ν. 4174/2013 (170 Α΄) «Φορολογικές διαδικασίες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άρθρου 22 του κεφαλαίου Ε΄, της από 31-12-2012 Πράξης νομοθετικού περιεχομένου (256 Α΄) η οποία κυρώθηκε με το άρθρο πρώτο του ν. 4147/2013 (98Α΄ /26-4-2013).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άρθρου 53 του ν.4223/2013 (Α΄287)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άρθρου 12 του ν. 2362/1995 (247 Α΄) “Περί Δημοσίου Λογιστικού”.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111/2014 (Α΄178) «Οργανισμός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της υποπαρ. Ε2 του άρθρου πρώτου του ν. 4093/2012 «Σύσταση θέσης Γενικού Γραμματέα Δημοσίων Εσόδων».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Πράξη του Υπουργικού Συμβουλίου αρ.20 της 25-6-2014 (τ. Υ.Ο.Δ.Δ. 360), «Επιλογή και διορισμός Γενικής Γραμματέως Δημοσίων Εσόδων».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ανάγκη επανακαθορισμού της διαδικασίας απόδοσης του ειδικού φόρου τηλεοπτικών διαφημίσεων προκειμένου να διευκολυνθούν οι φορείς της αγοράς κατά την πρώτη εφαρμογή των σχετικών διατάξεων.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παράγραφος 3 της Απόφασης του Γενικού Γραμματέα Δημοσίων Εσόδων ΠΟΛ 1271/23-12-2013 (ΦΕΚ Β΄3364) «Καθορισμός της διαδικασίας απόδοσης του ειδικού φόρου τηλεοπτικών διαφημίσεων καθώς και του τύπου και περιεχομένου της δήλωσης» αντικαθίσταται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 3. Η δήλωση υποβάλλεται μέχρι την 20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Ιανουαρίου για τα έσοδα που πραγματοποιούν τα τηλεοπτικά μέσα ενημέρωσης από τις τηλεοπτικές διαφημίσεις του προηγουμένου έτους.»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ΣΑΒΒΑΪΔΟΥ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τις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 και Περιφερειακές Διευθύνσεις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Γενική Γραμματεία Μέσων Ενημέρωσης (για κοινοποίηση στους αρμόδιους φορείς) Φραγκούδη 11 &amp; Αλεξανδρου Πάντου Τ.Κ.10163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 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Γεν.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Όλες τις Φορολογικές Διευθύνσεις και Τμήματα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 (10 αντίγραφα)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Εισπράξεων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Υποδ /νση Β΄ Εμμεσης Φορολογίας –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