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Κ:Β 294/2015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ΕΞΑΙΡΕΤΙΚΑ ΕΠΕΙΓΟΝ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Αθήνα, 23 Ιανουαρίου 2015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 ΓΕΝ. ΔΙΕΥΘΥΝΣΗ ΦΟΡΟΛΟΓΙΚΗΣ 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ΔΙΕΥΘΥΝΣΗ ΕΦΑΡΜΟΓΗΣ ΤΗΣ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ΦΟΡΟΛΟΓΙΚΗΣ ΠΟΛΙΤΙΚΗΣ ΚΑΙ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ΝΟΜΟΘΕΣΙΑΣ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Ι. ΥΠΟΔΙΕΥΘΥΝΣΗ Α΄ΑΜΕΣΗΣ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ΦΟΡΟΛΟΓΙΑΣ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ΤΜΗΜΑΤΑ Α΄ &amp;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Τ.Κ. : 101 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3375315-6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3375001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ΔΙΕΥΘΥΝΣΗ ΠΑΡΟΧΗΣ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ΦΟΡΟΛΟΓΙΚΩΝ ΥΠΗΡΕΣΙΩΝ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Χανδρή 1 &amp; Θεσ/κης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Τ.Κ. : 18346 ΜΟΣΧΑΤΟ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4802010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 ΓΕΝ. ΔΙΕΥΘΥΝΣΗ ΗΛΕΚΤΡΟΝΙΚΗΣ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ΔΙΑΚΥΒΕΡΝΗΣΗΣ &amp; ΑΝΘΡΩΠΙΝΟΥ ΔΥΝΑΜΙΚΟΥ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ΗΛΕΚΤΡΟΝΙΚΗΣ ΔΙΑΚΥΒΕΡΝΗΣΗΣ (Γ.Γ.Δ.Ε.) 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Χανδρή 1 &amp; Θεσ/κης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Τ.Κ. : 18346 ΜΟΣΧΑΤΟ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Τροποποίηση διατάξεων της ΠΟΛ 1013/2014 (ΦΕΚ Β΄32/14.1.2014)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απόφασης του Γ.Γ.Δ.Ε. «Υποβολή δήλωσης πληροφοριακών στοιχείων μισθώσεων ακίνητης περιουσίας με τη χρήση ηλεκτρονικής μεθόδου επικοινωνίας μέσω διαδικτύου»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υποπαραγράφου Ε2 του ν. 4093/2012 περί σύστασης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θέσης Γενικού Γραμματέα Δημοσίων Εσόδων (ΦΕΚ 222 Α΄ - 12/11/2012).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υπ’ αριθμ. 20 της 25.6.2014 Πράξη του Υπουργικού Συμβουλίου «Επιλογή και Διορισμός Γενικού Γραμματέα της Γενικής Γραμματείας Δημοσίων Εσόδων του Υπουργείου Οικονομικών» (ΦΕΚ ΥΟΔΔ 360/25.06.2014) για την επιλογή και τον διορισμό της κ. Αικατερίνης Σαββαΐδου.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παραγράφου 4 του άρθρου 15 του ν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.4174/2013</w:t>
        </w:r>
      </w:hyperlink>
      <w:r>
        <w:rPr>
          <w:lang w:val="el" w:eastAsia="el"/>
        </w:rPr>
        <w:t xml:space="preserve"> (ΦΕΚ 170 Α'/26-7-2013), περί παροχής πληροφοριών από τρίτους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ΠΟΛ 1013/2014 (ΦΕΚ Β 32/14.1.2014) Απόφαση του Γ.Γ.Δ.Ε. για την υποβολή δήλωσης πληροφοριακών στοιχείων μισθώσεων ακίνητης περιουσίας με τη χρήση ηλεκτρονικής μεθόδου επικοινωνίας μέσω διαδικτύου.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ανάγκη τροποποίησης της ΠΟΛ 1013/2014 Απόφασης του Γ.Γ.Δ.Ε. για την υποβολή δήλωσης πληροφοριακών στοιχείων μίσθωσης.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Ότι από την παρούσα απόφαση, δεν προκαλείται επιπλέον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Στο τέλος του άρθρου 1 της ΠΟΛ 1013/2014 προστίθεται νέο εδάφιο ως εξής : « Η υποχρέωση αυτή είναι προαιρετική για τους εκμισθωτές αγροτικών εκτάσεων εφόσον το μηνιαίο μίσθωμα δεν υπερβαίνει το ποσό των ογδόντα (80) ευρώ 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Μετά την παράγραφο 6 του άρθρου 2 της ΠΟΛ 1013/2014 προστίθεται νέα παράγραφος 7 ως εξής: «7. Σε όσες περιπτώσεις είναι αδύνατη η ηλεκτρονική υποβολή, κατά τα ανωτέρω, και η δήλωση υποβάλλεται για λογαριασμό του εκμισθωτή, από κηδεμόνα σχολάζουσας κληρονομίας, εκκαθαριστή κληρονομίας διορισμένο από το δικαστήριο, εκτελεστή διαθήκης που διορίστηκε από το δικαστήριο ή από τη Διεύθυνση Εθνικών Κληροδοτημάτων, σύνδικο πτώχευσης σε περίπτωση πτώχευσης φυσικού προσώπου, προσωρινό διαχειριστή σε περίπτωση επιδικίας, μεσεγγυούχο σε περίπτωση μεσεγγύησης, επίτροπο ή κηδεμόνα ή δικαστικό συμπαραστάτη σε περίπτωση που ιδιοκτήτης ακινήτου είναι ανήλικο τέκνο ή άτομο σε δικαστική συμπαράσταση, θα υποβάλλεται χειρόγραφα στην αρμόδια Δ.Ο.Υ φορολογίας του εκμισθωτή με το ειδικό έντυπο δήλωσης όπως το συνημμένο </w:t>
      </w:r>
      <w:r>
        <w:rPr>
          <w:b/>
          <w:bCs/>
          <w:lang w:val="el" w:eastAsia="el"/>
        </w:rPr>
        <w:t xml:space="preserve">“ΥΠΟΔΕΙΓΜΑ” </w:t>
      </w:r>
      <w:r>
        <w:rPr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παράγραφος 1 του άρθρου 4 της ίδιας απόφασης αντικαθίσταται ως εξής : «1. Όσοι δεν δηλώνουν τα στοιχεία των μισθώσεων ή τα δηλώνουν εκπρόθεσμα ή ελλιπώς, υπόκεινται στις κυρώσεις που προβλέπονται από τις ισχύουσες διατάξεις του ν. 4174/2013».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πρώτο εδάφιο της παραγράφου 2 του άρθρου 4 της ίδιας απόφασης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«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τις περιπτώσεις υποβολής εκπρόθεσμης ή ελλιπούς ή μη υποβολής δήλωσης πληροφοριακών στοιχείων μίσθωσης ακίνητης περιουσίας, θα αποστέλλονται από τη Δ.ΗΛΕ.Δ. προς τις αρμόδιες Δ.Ο.Υ. συγκεντρωτικές καταστάσεις με τα στοιχεία των υπόχρεων εκμισθωτών που, κατά περίπτωση, δεν έχουν υποβάλλει ή υπέβαλαν εκπρόθεσμα ήελλιπώς μέσα στον προηγούμενο μήνα τα πληροφοριακά στοιχεία μίσθωσης ακίνητης περιουσίας».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Στο τέλος του άρθρου 5 της ίδιας απόφασης προστίθεται νέο εδάφιο ως εξής : « Σε περίπτωση εκμίσθωσης κοινόχρηστων χώρων η δήλωση των πληροφοριακών στοιχείων μίσθωσης ακίνητης περιουσίας υποβάλλεται από το διαχειριστή (φυσικό ή νομικό πρόσωπο ή νομική οντότητα), με το ΑΦΜ της πολυκατοικίας ή του νομικού προσώπου ή της νομικής οντότητας».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δεύτερο εδάφιο του άρθρου 6 της πιο πάνω απόφασης αντικαθίσταται ως εξής «Ο κάθε μισθωτής θα ανατρέχει στην υποβληθείσα δήλωση και θα προβαίνει στην ηλεκτρονική αποδοχή ή μη της δήλωσης».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Έναρξη ισχύος της παρούσας ορίζεται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ΑντίγραφοΟ Προϊστάμενος του Αυτοτελούς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Τμήματος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ΣΥΝΗΜΜΕΝΑ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>ΥΠΟΔΕΙΓΜΑ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  <w:r>
        <w:rPr>
          <w:b/>
          <w:bCs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ΕΘΝΙΚΟ ΤΥΠΟΓΡΑΦΕΙΟ (με την παράκληση για δημοσίευση αυτής της απόφασης στην Εφημερίδα της Κυβέρνησης)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Δ/νση Ηλεκτρονικής Διακυβέρνησης Γ.Γ.Δ.Ε.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Δ/νσεις και Αυτοτελή Γραφεία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Περιφερειακές Διευθύνσεις ΣΔΟΕ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Αποδέκτες Πινάκων Β΄ (εκτός των αριθ. 1, 2 και 3 αυτού), Η΄ (εκτός των αριθ. 4, 10 και 11 αυτού), ΚΑ', ΙΕ'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Δ/νση Υποστήριξης Ηλεκτρ.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κας Γεν. Γραμ.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Γραφεία κ.κ. Γεν. Δ/ντων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Γρ. Γεν.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Υποδ/νση Α' Άμεσης Φορολογίας -Τμ. Α'(5) Τμ. Β'(5)-Φακ. Τεκμ.(Ι)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Γραφείο Επικοινωνίας και Πληροφόρησης Πολιτών (5)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Γραφείο Τύπου και Δημοσίων Σχέσεων (10)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forin.gr/laws/law/18/forologikes-diadikasies-kai-alles-diatakseis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